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四川银行定开系列1个月2号净值型理财产品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</w:t>
      </w:r>
      <w:bookmarkStart w:id="5" w:name="_GoBack"/>
      <w:bookmarkEnd w:id="5"/>
      <w:r>
        <w:rPr>
          <w:rFonts w:ascii="宋体" w:hAnsi="宋体"/>
          <w:b/>
          <w:bCs/>
          <w:sz w:val="28"/>
          <w:szCs w:val="30"/>
        </w:rPr>
        <w:t>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四川银行定开系列1个月2号净值型理财产品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2022-09-28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191,623,880.00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[2.2%-3.1%]/年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100.89%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四川银行-四川银行定开系列1个月2号净值型理财产品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128912158810741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5.96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1,250,231.60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836,613.63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191,635,429.89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191,635,429.89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1.0596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87,322,207.85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87,322,207.85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45.16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30,002,316.93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15.52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75,963,072.64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39.29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60,101.00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193,347,698.42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30,002,316.93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8,158,259.73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8,058,498.63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8,048,688.22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24日照银行CD064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7,879,686.31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24重庆三峡银行CD047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7,879,429.13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24兴阳01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7,251,338.36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6,117,082.19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5,945,201.01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24江苏银行CD189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5,896,244.98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3.08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无</w:t>
      </w:r>
      <w:r>
        <w:rPr>
          <w:rFonts w:hint="eastAsia" w:ascii="宋体" w:hAnsi="宋体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6589469C"/>
    <w:rsid w:val="72CF091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2024-10-11T11:01:14Z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C5F03905F19E418DB29509112766E547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