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四川银行定开系列1个月2号净值型理财产品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四川银行定开系列1个月2号净值型理财产品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C1438122000071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237,653,880.00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[2.15%-3.05%]/年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四川银行-四川银行定开系列1个月2号净值型理财产品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128912158810741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lang w:val="en-US" w:eastAsia="zh-CN"/>
              </w:rPr>
              <w:t>招商银行</w:t>
            </w:r>
            <w:r>
              <w:rPr>
                <w:rFonts w:hint="eastAsia" w:ascii="宋体" w:hAnsi="宋体"/>
              </w:rPr>
              <w:t>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6.53</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3,581,148.73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3,573,464.84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237,668,891.94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1.0653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237,668,891.94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1.0653</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pPr w:leftFromText="180" w:rightFromText="180" w:vertAnchor="text" w:horzAnchor="page" w:tblpX="1613" w:tblpY="287"/>
        <w:tblOverlap w:val="never"/>
        <w:tblW w:w="8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138,195,526.49</w:t>
            </w:r>
          </w:p>
        </w:tc>
        <w:tc>
          <w:tcPr>
            <w:tcW w:w="1749" w:type="dxa"/>
            <w:shd w:val="clear" w:color="auto" w:fill="auto"/>
            <w:vAlign w:val="center"/>
          </w:tcPr>
          <w:p>
            <w:pPr>
              <w:jc w:val="right"/>
              <w:rPr>
                <w:rFonts w:ascii="宋体" w:hAnsi="宋体"/>
              </w:rPr>
            </w:pPr>
            <w:r>
              <w:rPr>
                <w:rFonts w:hint="eastAsia" w:ascii="宋体" w:hAnsi="宋体"/>
              </w:rPr>
              <w:t>57.68</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138,195,526.49</w:t>
            </w:r>
          </w:p>
        </w:tc>
        <w:tc>
          <w:tcPr>
            <w:tcW w:w="1749" w:type="dxa"/>
            <w:shd w:val="clear" w:color="auto" w:fill="auto"/>
            <w:vAlign w:val="center"/>
          </w:tcPr>
          <w:p>
            <w:pPr>
              <w:jc w:val="right"/>
              <w:rPr>
                <w:rFonts w:ascii="宋体" w:hAnsi="宋体"/>
              </w:rPr>
            </w:pPr>
            <w:r>
              <w:rPr>
                <w:rFonts w:hint="eastAsia" w:ascii="宋体" w:hAnsi="宋体"/>
              </w:rPr>
              <w:t>57.68</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79,995,189.36</w:t>
            </w:r>
          </w:p>
        </w:tc>
        <w:tc>
          <w:tcPr>
            <w:tcW w:w="1749" w:type="dxa"/>
            <w:shd w:val="clear" w:color="auto" w:fill="auto"/>
            <w:vAlign w:val="center"/>
          </w:tcPr>
          <w:p>
            <w:pPr>
              <w:jc w:val="right"/>
              <w:rPr>
                <w:rFonts w:ascii="宋体" w:hAnsi="宋体"/>
              </w:rPr>
            </w:pPr>
            <w:r>
              <w:rPr>
                <w:rFonts w:hint="eastAsia" w:ascii="宋体" w:hAnsi="宋体"/>
              </w:rPr>
              <w:t>33.39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11,191,291.86</w:t>
            </w:r>
          </w:p>
        </w:tc>
        <w:tc>
          <w:tcPr>
            <w:tcW w:w="1749" w:type="dxa"/>
            <w:shd w:val="clear" w:color="auto" w:fill="auto"/>
            <w:vAlign w:val="center"/>
          </w:tcPr>
          <w:p>
            <w:pPr>
              <w:jc w:val="right"/>
              <w:rPr>
                <w:rFonts w:ascii="宋体" w:hAnsi="宋体"/>
              </w:rPr>
            </w:pPr>
            <w:r>
              <w:rPr>
                <w:rFonts w:hint="eastAsia" w:ascii="宋体" w:hAnsi="宋体"/>
              </w:rPr>
              <w:t>4.67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10,224,470.10</w:t>
            </w:r>
          </w:p>
        </w:tc>
        <w:tc>
          <w:tcPr>
            <w:tcW w:w="1749" w:type="dxa"/>
            <w:shd w:val="clear" w:color="auto" w:fill="auto"/>
            <w:vAlign w:val="center"/>
          </w:tcPr>
          <w:p>
            <w:pPr>
              <w:jc w:val="right"/>
              <w:rPr>
                <w:rFonts w:ascii="宋体" w:hAnsi="宋体"/>
              </w:rPr>
            </w:pPr>
            <w:r>
              <w:rPr>
                <w:rFonts w:hint="eastAsia" w:ascii="宋体" w:hAnsi="宋体"/>
              </w:rPr>
              <w:t>4.27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239,606,477.81</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79,995,189.36</w:t>
            </w:r>
          </w:p>
        </w:tc>
        <w:tc>
          <w:tcPr>
            <w:tcW w:w="2431" w:type="dxa"/>
            <w:shd w:val="clear" w:color="auto" w:fill="auto"/>
            <w:vAlign w:val="center"/>
          </w:tcPr>
          <w:p>
            <w:pPr>
              <w:jc w:val="right"/>
              <w:rPr>
                <w:rFonts w:ascii="宋体" w:hAnsi="宋体"/>
              </w:rPr>
            </w:pPr>
            <w:r>
              <w:rPr>
                <w:rFonts w:ascii="宋体" w:hAnsi="宋体"/>
              </w:rPr>
              <w:t>33.66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24成都开投PPN002</w:t>
            </w:r>
          </w:p>
        </w:tc>
        <w:tc>
          <w:tcPr>
            <w:tcW w:w="2693" w:type="dxa"/>
            <w:shd w:val="clear" w:color="auto" w:fill="auto"/>
            <w:vAlign w:val="center"/>
          </w:tcPr>
          <w:p>
            <w:pPr>
              <w:jc w:val="right"/>
              <w:rPr>
                <w:rFonts w:ascii="宋体" w:hAnsi="宋体"/>
              </w:rPr>
            </w:pPr>
            <w:r>
              <w:rPr>
                <w:rFonts w:ascii="宋体" w:hAnsi="宋体"/>
              </w:rPr>
              <w:t>10,397,000.00</w:t>
            </w:r>
          </w:p>
        </w:tc>
        <w:tc>
          <w:tcPr>
            <w:tcW w:w="2431" w:type="dxa"/>
            <w:shd w:val="clear" w:color="auto" w:fill="auto"/>
            <w:vAlign w:val="center"/>
          </w:tcPr>
          <w:p>
            <w:pPr>
              <w:jc w:val="right"/>
              <w:rPr>
                <w:rFonts w:ascii="宋体" w:hAnsi="宋体"/>
              </w:rPr>
            </w:pPr>
            <w:r>
              <w:rPr>
                <w:rFonts w:ascii="宋体" w:hAnsi="宋体"/>
              </w:rPr>
              <w:t>4.37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24广西北部湾银行CD154</w:t>
            </w:r>
          </w:p>
        </w:tc>
        <w:tc>
          <w:tcPr>
            <w:tcW w:w="2693" w:type="dxa"/>
            <w:shd w:val="clear" w:color="auto" w:fill="auto"/>
            <w:vAlign w:val="center"/>
          </w:tcPr>
          <w:p>
            <w:pPr>
              <w:jc w:val="right"/>
              <w:rPr>
                <w:rFonts w:ascii="宋体" w:hAnsi="宋体"/>
              </w:rPr>
            </w:pPr>
            <w:r>
              <w:rPr>
                <w:rFonts w:ascii="宋体" w:hAnsi="宋体"/>
              </w:rPr>
              <w:t>9,972,487.91</w:t>
            </w:r>
          </w:p>
        </w:tc>
        <w:tc>
          <w:tcPr>
            <w:tcW w:w="2431" w:type="dxa"/>
            <w:shd w:val="clear" w:color="auto" w:fill="auto"/>
            <w:vAlign w:val="center"/>
          </w:tcPr>
          <w:p>
            <w:pPr>
              <w:jc w:val="right"/>
              <w:rPr>
                <w:rFonts w:ascii="宋体" w:hAnsi="宋体"/>
              </w:rPr>
            </w:pPr>
            <w:r>
              <w:rPr>
                <w:rFonts w:ascii="宋体" w:hAnsi="宋体"/>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24昆仑银行CD028</w:t>
            </w:r>
          </w:p>
        </w:tc>
        <w:tc>
          <w:tcPr>
            <w:tcW w:w="2693" w:type="dxa"/>
            <w:shd w:val="clear" w:color="auto" w:fill="auto"/>
            <w:vAlign w:val="center"/>
          </w:tcPr>
          <w:p>
            <w:pPr>
              <w:jc w:val="right"/>
              <w:rPr>
                <w:rFonts w:ascii="宋体" w:hAnsi="宋体"/>
              </w:rPr>
            </w:pPr>
            <w:r>
              <w:rPr>
                <w:rFonts w:ascii="宋体" w:hAnsi="宋体"/>
              </w:rPr>
              <w:t>9,949,468.22</w:t>
            </w:r>
          </w:p>
        </w:tc>
        <w:tc>
          <w:tcPr>
            <w:tcW w:w="2431" w:type="dxa"/>
            <w:shd w:val="clear" w:color="auto" w:fill="auto"/>
            <w:vAlign w:val="center"/>
          </w:tcPr>
          <w:p>
            <w:pPr>
              <w:jc w:val="right"/>
              <w:rPr>
                <w:rFonts w:ascii="宋体" w:hAnsi="宋体"/>
              </w:rPr>
            </w:pPr>
            <w:r>
              <w:rPr>
                <w:rFonts w:ascii="宋体" w:hAnsi="宋体"/>
              </w:rPr>
              <w:t>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24重庆三峡银行CD075</w:t>
            </w:r>
          </w:p>
        </w:tc>
        <w:tc>
          <w:tcPr>
            <w:tcW w:w="2693" w:type="dxa"/>
            <w:shd w:val="clear" w:color="auto" w:fill="auto"/>
            <w:vAlign w:val="center"/>
          </w:tcPr>
          <w:p>
            <w:pPr>
              <w:jc w:val="right"/>
              <w:rPr>
                <w:rFonts w:ascii="宋体" w:hAnsi="宋体"/>
              </w:rPr>
            </w:pPr>
            <w:r>
              <w:rPr>
                <w:rFonts w:ascii="宋体" w:hAnsi="宋体"/>
              </w:rPr>
              <w:t>9,850,419.73</w:t>
            </w:r>
          </w:p>
        </w:tc>
        <w:tc>
          <w:tcPr>
            <w:tcW w:w="2431" w:type="dxa"/>
            <w:shd w:val="clear" w:color="auto" w:fill="auto"/>
            <w:vAlign w:val="center"/>
          </w:tcPr>
          <w:p>
            <w:pPr>
              <w:jc w:val="right"/>
              <w:rPr>
                <w:rFonts w:ascii="宋体" w:hAnsi="宋体"/>
              </w:rPr>
            </w:pPr>
            <w:r>
              <w:rPr>
                <w:rFonts w:ascii="宋体" w:hAnsi="宋体"/>
              </w:rPr>
              <w:t>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24渤海银行CD422</w:t>
            </w:r>
          </w:p>
        </w:tc>
        <w:tc>
          <w:tcPr>
            <w:tcW w:w="2693" w:type="dxa"/>
            <w:shd w:val="clear" w:color="auto" w:fill="auto"/>
            <w:vAlign w:val="center"/>
          </w:tcPr>
          <w:p>
            <w:pPr>
              <w:jc w:val="right"/>
              <w:rPr>
                <w:rFonts w:ascii="宋体" w:hAnsi="宋体"/>
              </w:rPr>
            </w:pPr>
            <w:r>
              <w:rPr>
                <w:rFonts w:ascii="宋体" w:hAnsi="宋体"/>
              </w:rPr>
              <w:t>9,841,150.19</w:t>
            </w:r>
          </w:p>
        </w:tc>
        <w:tc>
          <w:tcPr>
            <w:tcW w:w="2431" w:type="dxa"/>
            <w:shd w:val="clear" w:color="auto" w:fill="auto"/>
            <w:vAlign w:val="center"/>
          </w:tcPr>
          <w:p>
            <w:pPr>
              <w:jc w:val="right"/>
              <w:rPr>
                <w:rFonts w:ascii="宋体" w:hAnsi="宋体"/>
              </w:rPr>
            </w:pPr>
            <w:r>
              <w:rPr>
                <w:rFonts w:ascii="宋体" w:hAnsi="宋体"/>
              </w:rPr>
              <w:t>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24绵阳投资MTN001A</w:t>
            </w:r>
          </w:p>
        </w:tc>
        <w:tc>
          <w:tcPr>
            <w:tcW w:w="2693" w:type="dxa"/>
            <w:shd w:val="clear" w:color="auto" w:fill="auto"/>
            <w:vAlign w:val="center"/>
          </w:tcPr>
          <w:p>
            <w:pPr>
              <w:jc w:val="right"/>
              <w:rPr>
                <w:rFonts w:ascii="宋体" w:hAnsi="宋体"/>
              </w:rPr>
            </w:pPr>
            <w:r>
              <w:rPr>
                <w:rFonts w:ascii="宋体" w:hAnsi="宋体"/>
              </w:rPr>
              <w:t>8,302,329.86</w:t>
            </w:r>
          </w:p>
        </w:tc>
        <w:tc>
          <w:tcPr>
            <w:tcW w:w="2431" w:type="dxa"/>
            <w:shd w:val="clear" w:color="auto" w:fill="auto"/>
            <w:vAlign w:val="center"/>
          </w:tcPr>
          <w:p>
            <w:pPr>
              <w:jc w:val="right"/>
              <w:rPr>
                <w:rFonts w:ascii="宋体" w:hAnsi="宋体"/>
              </w:rPr>
            </w:pPr>
            <w:r>
              <w:rPr>
                <w:rFonts w:ascii="宋体" w:hAnsi="宋体"/>
              </w:rPr>
              <w:t>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24达州03</w:t>
            </w:r>
          </w:p>
        </w:tc>
        <w:tc>
          <w:tcPr>
            <w:tcW w:w="2693" w:type="dxa"/>
            <w:shd w:val="clear" w:color="auto" w:fill="auto"/>
            <w:vAlign w:val="center"/>
          </w:tcPr>
          <w:p>
            <w:pPr>
              <w:jc w:val="right"/>
              <w:rPr>
                <w:rFonts w:ascii="宋体" w:hAnsi="宋体"/>
              </w:rPr>
            </w:pPr>
            <w:r>
              <w:rPr>
                <w:rFonts w:ascii="宋体" w:hAnsi="宋体"/>
              </w:rPr>
              <w:t>8,182,553.42</w:t>
            </w:r>
          </w:p>
        </w:tc>
        <w:tc>
          <w:tcPr>
            <w:tcW w:w="2431" w:type="dxa"/>
            <w:shd w:val="clear" w:color="auto" w:fill="auto"/>
            <w:vAlign w:val="center"/>
          </w:tcPr>
          <w:p>
            <w:pPr>
              <w:jc w:val="right"/>
              <w:rPr>
                <w:rFonts w:ascii="宋体" w:hAnsi="宋体"/>
              </w:rPr>
            </w:pPr>
            <w:r>
              <w:rPr>
                <w:rFonts w:ascii="宋体" w:hAnsi="宋体"/>
              </w:rPr>
              <w:t>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24成经D2</w:t>
            </w:r>
          </w:p>
        </w:tc>
        <w:tc>
          <w:tcPr>
            <w:tcW w:w="2693" w:type="dxa"/>
            <w:shd w:val="clear" w:color="auto" w:fill="auto"/>
            <w:vAlign w:val="center"/>
          </w:tcPr>
          <w:p>
            <w:pPr>
              <w:jc w:val="right"/>
              <w:rPr>
                <w:rFonts w:ascii="宋体" w:hAnsi="宋体"/>
              </w:rPr>
            </w:pPr>
            <w:r>
              <w:rPr>
                <w:rFonts w:ascii="宋体" w:hAnsi="宋体"/>
              </w:rPr>
              <w:t>8,119,484.93</w:t>
            </w:r>
          </w:p>
        </w:tc>
        <w:tc>
          <w:tcPr>
            <w:tcW w:w="2431" w:type="dxa"/>
            <w:shd w:val="clear" w:color="auto" w:fill="auto"/>
            <w:vAlign w:val="center"/>
          </w:tcPr>
          <w:p>
            <w:pPr>
              <w:jc w:val="right"/>
              <w:rPr>
                <w:rFonts w:ascii="宋体" w:hAnsi="宋体"/>
              </w:rPr>
            </w:pPr>
            <w:r>
              <w:rPr>
                <w:rFonts w:ascii="宋体" w:hAnsi="宋体"/>
              </w:rPr>
              <w:t>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24重庆三峡银行CD047</w:t>
            </w:r>
          </w:p>
        </w:tc>
        <w:tc>
          <w:tcPr>
            <w:tcW w:w="2693" w:type="dxa"/>
            <w:shd w:val="clear" w:color="auto" w:fill="auto"/>
            <w:vAlign w:val="center"/>
          </w:tcPr>
          <w:p>
            <w:pPr>
              <w:jc w:val="right"/>
              <w:rPr>
                <w:rFonts w:ascii="宋体" w:hAnsi="宋体"/>
              </w:rPr>
            </w:pPr>
            <w:r>
              <w:rPr>
                <w:rFonts w:ascii="宋体" w:hAnsi="宋体"/>
              </w:rPr>
              <w:t>7,934,422.14</w:t>
            </w:r>
          </w:p>
        </w:tc>
        <w:tc>
          <w:tcPr>
            <w:tcW w:w="2431" w:type="dxa"/>
            <w:shd w:val="clear" w:color="auto" w:fill="auto"/>
            <w:vAlign w:val="center"/>
          </w:tcPr>
          <w:p>
            <w:pPr>
              <w:jc w:val="right"/>
              <w:rPr>
                <w:rFonts w:ascii="宋体" w:hAnsi="宋体"/>
              </w:rPr>
            </w:pPr>
            <w:bookmarkStart w:id="3" w:name="OLE_LINK6"/>
            <w:bookmarkStart w:id="4" w:name="OLE_LINK5"/>
            <w:r>
              <w:rPr>
                <w:rFonts w:ascii="宋体" w:hAnsi="宋体"/>
              </w:rPr>
              <w:t>3.34</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四川银行定开系列1个月2号净值型理财产品托管的过程中，严格遵守有关法律法规、托管协议的规定，尽职尽责地履行托管义务并安全保管托管资产。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bookmarkStart w:id="5" w:name="_GoBack"/>
      <w:bookmarkEnd w:id="5"/>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FC23DC4"/>
    <w:rsid w:val="339E2F39"/>
    <w:rsid w:val="38A16717"/>
    <w:rsid w:val="46A87316"/>
    <w:rsid w:val="512D246A"/>
    <w:rsid w:val="52F55ED7"/>
    <w:rsid w:val="54B27197"/>
    <w:rsid w:val="582C5E27"/>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5</TotalTime>
  <ScaleCrop>false</ScaleCrop>
  <LinksUpToDate>false</LinksUpToDate>
  <CharactersWithSpaces>1954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01142875</cp:lastModifiedBy>
  <cp:lastPrinted>2411-12-31T16:00:00Z</cp:lastPrinted>
  <dcterms:modified xsi:type="dcterms:W3CDTF">2025-01-16T06:30:39Z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