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 xml:space="preserve">四川银行定开系列3个月4号净值型理财产品 </w:t>
      </w:r>
    </w:p>
    <w:p>
      <w:pPr>
        <w:jc w:val="center"/>
        <w:rPr>
          <w:rFonts w:ascii="宋体" w:hAnsi="宋体"/>
          <w:b/>
          <w:bCs/>
          <w:sz w:val="48"/>
          <w:szCs w:val="30"/>
        </w:rPr>
      </w:pPr>
      <w:r>
        <w:rPr>
          <w:rFonts w:ascii="宋体" w:hAnsi="宋体"/>
          <w:b/>
          <w:bCs/>
          <w:sz w:val="48"/>
          <w:szCs w:val="30"/>
        </w:rPr>
        <w:t>2024年年度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b/>
          <w:bCs/>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自2024-01-01起至2024-12-31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四川银行定开系列3个月4号净值型理财产品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C1438122000019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2022-04-28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209,124,800.00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[2.35%-3.35%]/年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期末杠杆水平</w:t>
            </w:r>
          </w:p>
        </w:tc>
        <w:tc>
          <w:tcPr>
            <w:tcW w:w="5027"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ascii="宋体" w:hAnsi="宋体"/>
              </w:rPr>
            </w:pPr>
            <w:r>
              <w:rPr>
                <w:rFonts w:hint="eastAsia" w:ascii="宋体" w:hAnsi="宋体"/>
              </w:rPr>
              <w:t>四川银行-四川银行定开系列3个月4号净值型理财产品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ascii="宋体" w:hAnsi="宋体"/>
              </w:rPr>
            </w:pPr>
            <w:r>
              <w:rPr>
                <w:rFonts w:hint="eastAsia" w:ascii="宋体" w:hAnsi="宋体"/>
              </w:rPr>
              <w:t>128912158810127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eastAsia="宋体"/>
                <w:szCs w:val="21"/>
                <w:lang w:val="en-US" w:eastAsia="zh-CN"/>
              </w:rPr>
            </w:pPr>
            <w:r>
              <w:rPr>
                <w:rFonts w:hint="eastAsia" w:ascii="宋体" w:hAnsi="宋体"/>
                <w:szCs w:val="21"/>
                <w:lang w:val="en-US" w:eastAsia="zh-CN"/>
              </w:rPr>
              <w:t>托管户开户行</w:t>
            </w:r>
          </w:p>
        </w:tc>
        <w:tc>
          <w:tcPr>
            <w:tcW w:w="5027" w:type="dxa"/>
            <w:vAlign w:val="center"/>
          </w:tcPr>
          <w:p>
            <w:pPr>
              <w:jc w:val="left"/>
              <w:rPr>
                <w:rFonts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both"/>
              <w:rPr>
                <w:rFonts w:ascii="宋体" w:hAnsi="宋体"/>
              </w:rPr>
            </w:pPr>
            <w:r>
              <w:rPr>
                <w:rFonts w:hint="eastAsia" w:ascii="宋体" w:hAnsi="宋体"/>
              </w:rPr>
              <w:t>当期（</w:t>
            </w:r>
            <w:r>
              <w:rPr>
                <w:rFonts w:ascii="宋体" w:hAnsi="宋体"/>
              </w:rPr>
              <w:t>2024-01-01</w:t>
            </w:r>
            <w:r>
              <w:rPr>
                <w:rFonts w:hint="eastAsia" w:ascii="宋体" w:hAnsi="宋体"/>
              </w:rPr>
              <w:t>至</w:t>
            </w:r>
            <w:r>
              <w:rPr>
                <w:rFonts w:ascii="宋体" w:hAnsi="宋体"/>
              </w:rPr>
              <w:t>2024-12-31</w:t>
            </w:r>
            <w:r>
              <w:rPr>
                <w:rFonts w:hint="eastAsia" w:ascii="宋体" w:hAnsi="宋体"/>
              </w:rPr>
              <w:t>）</w:t>
            </w:r>
          </w:p>
        </w:tc>
        <w:tc>
          <w:tcPr>
            <w:tcW w:w="5103" w:type="dxa"/>
            <w:vAlign w:val="center"/>
          </w:tcPr>
          <w:p>
            <w:pPr>
              <w:jc w:val="right"/>
              <w:rPr>
                <w:rFonts w:ascii="宋体" w:hAnsi="宋体"/>
              </w:rPr>
            </w:pPr>
            <w:r>
              <w:rPr>
                <w:rFonts w:hint="eastAsia" w:ascii="宋体" w:hAnsi="宋体"/>
              </w:rPr>
              <w:t>2.94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left"/>
              <w:rPr>
                <w:rFonts w:ascii="宋体" w:hAnsi="宋体"/>
              </w:rPr>
            </w:pPr>
            <w:r>
              <w:rPr>
                <w:rFonts w:hint="eastAsia" w:ascii="宋体" w:hAnsi="宋体"/>
              </w:rPr>
              <w:t>自产品成立日至今</w:t>
            </w:r>
          </w:p>
        </w:tc>
        <w:tc>
          <w:tcPr>
            <w:tcW w:w="5103" w:type="dxa"/>
            <w:vAlign w:val="center"/>
          </w:tcPr>
          <w:p>
            <w:pPr>
              <w:jc w:val="right"/>
              <w:rPr>
                <w:rFonts w:ascii="宋体" w:hAnsi="宋体"/>
              </w:rPr>
            </w:pPr>
            <w:r>
              <w:rPr>
                <w:rFonts w:hint="eastAsia" w:ascii="宋体" w:hAnsi="宋体"/>
              </w:rPr>
              <w:t>8.71</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ascii="宋体" w:hAnsi="宋体"/>
                <w:b/>
                <w:szCs w:val="21"/>
              </w:rPr>
              <w:t>项目</w:t>
            </w:r>
          </w:p>
        </w:tc>
        <w:tc>
          <w:tcPr>
            <w:tcW w:w="5027" w:type="dxa"/>
            <w:shd w:val="clear" w:color="auto" w:fill="D9D9D9"/>
            <w:vAlign w:val="center"/>
          </w:tcPr>
          <w:p>
            <w:pPr>
              <w:jc w:val="left"/>
              <w:rPr>
                <w:b/>
              </w:rPr>
            </w:pPr>
            <w:r>
              <w:rPr>
                <w:b/>
              </w:rPr>
              <w:t>2024-01-01</w:t>
            </w:r>
            <w:r>
              <w:rPr>
                <w:rFonts w:hint="eastAsia"/>
                <w:b/>
              </w:rPr>
              <w:t xml:space="preserve">至 </w:t>
            </w:r>
            <w:r>
              <w:rPr>
                <w:b/>
              </w:rPr>
              <w:t>2024-12-31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rPr>
                <w:rFonts w:ascii="宋体" w:hAnsi="宋体"/>
              </w:rPr>
            </w:pPr>
            <w:r>
              <w:rPr>
                <w:rFonts w:ascii="宋体" w:hAnsi="宋体"/>
              </w:rPr>
              <w:t>5,377,859.21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rPr>
                <w:rFonts w:ascii="宋体" w:hAnsi="宋体"/>
              </w:rPr>
            </w:pPr>
            <w:r>
              <w:rPr>
                <w:rFonts w:ascii="宋体" w:hAnsi="宋体"/>
              </w:rPr>
              <w:t>6,203,452.18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rPr>
                <w:rFonts w:ascii="宋体" w:hAnsi="宋体"/>
              </w:rPr>
            </w:pPr>
            <w:r>
              <w:rPr>
                <w:rFonts w:ascii="宋体" w:hAnsi="宋体"/>
              </w:rPr>
              <w:t>210,123,802.53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rPr>
                <w:rFonts w:ascii="宋体" w:hAnsi="宋体"/>
              </w:rPr>
            </w:pPr>
            <w:r>
              <w:rPr>
                <w:rFonts w:ascii="宋体" w:hAnsi="宋体"/>
              </w:rPr>
              <w:t>1.0048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both"/>
              <w:rPr>
                <w:rFonts w:hint="eastAsia" w:ascii="宋体" w:hAnsi="宋体" w:eastAsia="宋体" w:cs="Times New Roman"/>
                <w:kern w:val="2"/>
                <w:sz w:val="21"/>
                <w:lang w:val="en-US" w:eastAsia="zh-CN" w:bidi="ar-SA"/>
              </w:rPr>
            </w:pPr>
            <w:r>
              <w:rPr>
                <w:rFonts w:hint="eastAsia" w:ascii="宋体" w:hAnsi="宋体"/>
                <w:lang w:val="en-US" w:eastAsia="zh-CN"/>
              </w:rPr>
              <w:t>期末累计单位净值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1.0871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期末最后一个市场交易日资产净值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210,123,802.53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b/>
                <w:bCs/>
                <w:kern w:val="2"/>
                <w:sz w:val="21"/>
                <w:lang w:val="en-US" w:eastAsia="zh-CN" w:bidi="ar-SA"/>
              </w:rPr>
            </w:pPr>
            <w:r>
              <w:rPr>
                <w:rFonts w:hint="eastAsia" w:ascii="宋体" w:hAnsi="宋体"/>
              </w:rPr>
              <w:t>期末最后一个市场交易日</w:t>
            </w:r>
            <w:r>
              <w:rPr>
                <w:rFonts w:hint="eastAsia" w:ascii="宋体" w:hAnsi="宋体"/>
                <w:lang w:val="en-US" w:eastAsia="zh-CN"/>
              </w:rPr>
              <w:t>份额</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1.0048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eastAsia="宋体" w:cs="Times New Roman"/>
                <w:kern w:val="2"/>
                <w:sz w:val="21"/>
                <w:lang w:val="en-US" w:eastAsia="zh-CN" w:bidi="ar-SA"/>
              </w:rPr>
            </w:pPr>
            <w:r>
              <w:rPr>
                <w:rFonts w:hint="eastAsia" w:ascii="宋体" w:hAnsi="宋体"/>
              </w:rPr>
              <w:t>期末最后一个市场交易日</w:t>
            </w:r>
            <w:r>
              <w:rPr>
                <w:rFonts w:hint="eastAsia" w:ascii="宋体" w:hAnsi="宋体"/>
                <w:lang w:val="en-US" w:eastAsia="zh-CN"/>
              </w:rPr>
              <w:t>累计单位</w:t>
            </w:r>
            <w:r>
              <w:rPr>
                <w:rFonts w:hint="eastAsia" w:ascii="宋体" w:hAnsi="宋体"/>
              </w:rPr>
              <w:t>净值</w:t>
            </w:r>
          </w:p>
        </w:tc>
        <w:tc>
          <w:tcPr>
            <w:tcW w:w="5027" w:type="dxa"/>
            <w:vAlign w:val="center"/>
          </w:tcPr>
          <w:p>
            <w:pPr>
              <w:jc w:val="right"/>
              <w:rPr>
                <w:rFonts w:hint="eastAsia" w:ascii="宋体" w:hAnsi="宋体" w:eastAsia="宋体" w:cs="Times New Roman"/>
                <w:kern w:val="2"/>
                <w:sz w:val="21"/>
                <w:lang w:val="en-US" w:eastAsia="zh-CN" w:bidi="ar-SA"/>
              </w:rPr>
            </w:pPr>
            <w:r>
              <w:rPr>
                <w:rFonts w:hint="eastAsia" w:ascii="宋体" w:hAnsi="宋体"/>
              </w:rPr>
              <w:t>1.0871</w:t>
            </w:r>
          </w:p>
        </w:tc>
      </w:tr>
    </w:tbl>
    <w:p>
      <w:pPr>
        <w:tabs>
          <w:tab w:val="left" w:pos="3135"/>
        </w:tabs>
        <w:ind w:left="420" w:leftChars="200"/>
        <w:rPr>
          <w:rFonts w:ascii="宋体" w:hAnsi="宋体"/>
          <w:sz w:val="24"/>
        </w:rPr>
      </w:pPr>
      <w:r>
        <w:rPr>
          <w:rFonts w:hint="eastAsia" w:ascii="宋体" w:hAnsi="宋体"/>
          <w:sz w:val="24"/>
        </w:rPr>
        <w:t xml:space="preserve"> </w:t>
      </w:r>
    </w:p>
    <w:p>
      <w:pPr>
        <w:pStyle w:val="40"/>
      </w:pPr>
      <w:r>
        <w:rPr>
          <w:rFonts w:hint="eastAsia"/>
        </w:rPr>
        <w:t>投资组合情况</w:t>
      </w:r>
      <w:r>
        <w:rPr>
          <w:rFonts w:hint="eastAsia"/>
          <w:lang w:eastAsia="zh-CN"/>
        </w:rPr>
        <w:t>及</w:t>
      </w:r>
      <w:r>
        <w:rPr>
          <w:lang w:eastAsia="zh-CN"/>
        </w:rP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rPr>
          <w:lang w:val="zh-CN" w:eastAsia="zh-CN"/>
        </w:rPr>
      </w:pPr>
    </w:p>
    <w:p>
      <w:pPr>
        <w:jc w:val="right"/>
      </w:pPr>
    </w:p>
    <w:p>
      <w:pPr>
        <w:jc w:val="right"/>
      </w:pPr>
    </w:p>
    <w:p>
      <w:pPr>
        <w:jc w:val="right"/>
        <w:rPr>
          <w:rFonts w:hint="eastAsia"/>
        </w:rPr>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rPr>
                <w:rFonts w:ascii="宋体" w:hAnsi="宋体"/>
              </w:rPr>
            </w:pPr>
            <w:r>
              <w:rPr>
                <w:rFonts w:hint="eastAsia" w:ascii="宋体" w:hAnsi="宋体"/>
              </w:rPr>
              <w:t>135,515,980.10</w:t>
            </w:r>
          </w:p>
        </w:tc>
        <w:tc>
          <w:tcPr>
            <w:tcW w:w="1749" w:type="dxa"/>
            <w:shd w:val="clear" w:color="auto" w:fill="auto"/>
            <w:vAlign w:val="center"/>
          </w:tcPr>
          <w:p>
            <w:pPr>
              <w:jc w:val="right"/>
              <w:rPr>
                <w:rFonts w:ascii="宋体" w:hAnsi="宋体"/>
              </w:rPr>
            </w:pPr>
            <w:r>
              <w:rPr>
                <w:rFonts w:hint="eastAsia" w:ascii="宋体" w:hAnsi="宋体"/>
              </w:rPr>
              <w:t>63.19</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rPr>
                <w:rFonts w:ascii="宋体" w:hAnsi="宋体"/>
              </w:rPr>
            </w:pPr>
            <w:r>
              <w:rPr>
                <w:rFonts w:hint="eastAsia" w:ascii="宋体" w:hAnsi="宋体"/>
              </w:rPr>
              <w:t>135,515,980.10</w:t>
            </w:r>
          </w:p>
        </w:tc>
        <w:tc>
          <w:tcPr>
            <w:tcW w:w="1749" w:type="dxa"/>
            <w:shd w:val="clear" w:color="auto" w:fill="auto"/>
            <w:vAlign w:val="center"/>
          </w:tcPr>
          <w:p>
            <w:pPr>
              <w:jc w:val="right"/>
              <w:rPr>
                <w:rFonts w:ascii="宋体" w:hAnsi="宋体"/>
              </w:rPr>
            </w:pPr>
            <w:r>
              <w:rPr>
                <w:rFonts w:hint="eastAsia" w:ascii="宋体" w:hAnsi="宋体"/>
              </w:rPr>
              <w:t>63.19</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rPr>
                <w:rFonts w:ascii="宋体" w:hAnsi="宋体"/>
              </w:rPr>
            </w:pPr>
            <w:r>
              <w:rPr>
                <w:rFonts w:hint="eastAsia" w:ascii="宋体" w:hAnsi="宋体"/>
              </w:rPr>
              <w:t>77,996,289.94</w:t>
            </w:r>
          </w:p>
        </w:tc>
        <w:tc>
          <w:tcPr>
            <w:tcW w:w="1749" w:type="dxa"/>
            <w:shd w:val="clear" w:color="auto" w:fill="auto"/>
            <w:vAlign w:val="center"/>
          </w:tcPr>
          <w:p>
            <w:pPr>
              <w:jc w:val="right"/>
              <w:rPr>
                <w:rFonts w:ascii="宋体" w:hAnsi="宋体"/>
              </w:rPr>
            </w:pPr>
            <w:r>
              <w:rPr>
                <w:rFonts w:hint="eastAsia" w:ascii="宋体" w:hAnsi="宋体"/>
              </w:rPr>
              <w:t>36.37</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rPr>
                <w:rFonts w:ascii="宋体" w:hAnsi="宋体"/>
              </w:rPr>
            </w:pPr>
          </w:p>
        </w:tc>
        <w:tc>
          <w:tcPr>
            <w:tcW w:w="1749" w:type="dxa"/>
            <w:shd w:val="clear" w:color="auto" w:fill="auto"/>
            <w:vAlign w:val="center"/>
          </w:tcPr>
          <w:p>
            <w:pPr>
              <w:jc w:val="right"/>
              <w:rPr>
                <w:rFonts w:ascii="宋体" w:hAnsi="宋体"/>
              </w:rPr>
            </w:pPr>
          </w:p>
        </w:tc>
        <w:tc>
          <w:tcPr>
            <w:tcW w:w="1653" w:type="dxa"/>
            <w:vAlign w:val="center"/>
          </w:tcPr>
          <w:p>
            <w:pPr>
              <w:jc w:val="right"/>
              <w:rPr>
                <w:rFonts w:ascii="宋体" w:hAnsi="宋体"/>
              </w:rPr>
            </w:pPr>
          </w:p>
        </w:tc>
        <w:tc>
          <w:tcPr>
            <w:tcW w:w="1705" w:type="dxa"/>
            <w:vAlign w:val="center"/>
          </w:tcPr>
          <w:p>
            <w:pPr>
              <w:jc w:val="right"/>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rPr>
                <w:rFonts w:ascii="宋体" w:hAnsi="宋体"/>
              </w:rPr>
            </w:pPr>
            <w:r>
              <w:rPr>
                <w:rFonts w:hint="eastAsia" w:ascii="宋体" w:hAnsi="宋体"/>
              </w:rPr>
              <w:t>459,623.15</w:t>
            </w:r>
          </w:p>
        </w:tc>
        <w:tc>
          <w:tcPr>
            <w:tcW w:w="1749" w:type="dxa"/>
            <w:shd w:val="clear" w:color="auto" w:fill="auto"/>
            <w:vAlign w:val="center"/>
          </w:tcPr>
          <w:p>
            <w:pPr>
              <w:jc w:val="right"/>
              <w:rPr>
                <w:rFonts w:ascii="宋体" w:hAnsi="宋体"/>
              </w:rPr>
            </w:pPr>
            <w:r>
              <w:rPr>
                <w:rFonts w:hint="eastAsia" w:ascii="宋体" w:hAnsi="宋体"/>
              </w:rPr>
              <w:t>0.21</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rPr>
                <w:rFonts w:ascii="宋体" w:hAnsi="宋体"/>
              </w:rPr>
            </w:pPr>
            <w:r>
              <w:rPr>
                <w:rFonts w:hint="eastAsia" w:ascii="宋体" w:hAnsi="宋体"/>
              </w:rPr>
              <w:t>0.00</w:t>
            </w:r>
          </w:p>
        </w:tc>
        <w:tc>
          <w:tcPr>
            <w:tcW w:w="1749" w:type="dxa"/>
            <w:shd w:val="clear" w:color="auto" w:fill="auto"/>
            <w:vAlign w:val="center"/>
          </w:tcPr>
          <w:p>
            <w:pPr>
              <w:jc w:val="right"/>
              <w:rPr>
                <w:rFonts w:ascii="宋体" w:hAnsi="宋体"/>
              </w:rPr>
            </w:pPr>
            <w:r>
              <w:rPr>
                <w:rFonts w:hint="eastAsia" w:ascii="宋体" w:hAnsi="宋体"/>
              </w:rPr>
              <w:t>0.00</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rPr>
                <w:rFonts w:ascii="宋体" w:hAnsi="宋体"/>
              </w:rPr>
            </w:pPr>
            <w:r>
              <w:rPr>
                <w:rFonts w:hint="eastAsia" w:ascii="宋体" w:hAnsi="宋体"/>
              </w:rPr>
              <w:t>481,201.61</w:t>
            </w:r>
          </w:p>
        </w:tc>
        <w:tc>
          <w:tcPr>
            <w:tcW w:w="1749" w:type="dxa"/>
            <w:shd w:val="clear" w:color="auto" w:fill="auto"/>
            <w:vAlign w:val="center"/>
          </w:tcPr>
          <w:p>
            <w:pPr>
              <w:jc w:val="right"/>
              <w:rPr>
                <w:rFonts w:ascii="宋体" w:hAnsi="宋体"/>
              </w:rPr>
            </w:pPr>
            <w:r>
              <w:rPr>
                <w:rFonts w:hint="eastAsia" w:ascii="宋体" w:hAnsi="宋体"/>
              </w:rPr>
              <w:t>0.22</w:t>
            </w:r>
          </w:p>
        </w:tc>
        <w:tc>
          <w:tcPr>
            <w:tcW w:w="1653" w:type="dxa"/>
            <w:vAlign w:val="center"/>
          </w:tcPr>
          <w:p>
            <w:pPr>
              <w:jc w:val="right"/>
              <w:rPr>
                <w:rFonts w:ascii="宋体" w:hAnsi="宋体"/>
              </w:rPr>
            </w:pPr>
            <w:r>
              <w:rPr>
                <w:rFonts w:hint="eastAsia" w:ascii="宋体" w:hAnsi="宋体"/>
              </w:rPr>
              <w:t>0.00</w:t>
            </w:r>
          </w:p>
        </w:tc>
        <w:tc>
          <w:tcPr>
            <w:tcW w:w="1705" w:type="dxa"/>
            <w:vAlign w:val="center"/>
          </w:tcPr>
          <w:p>
            <w:pPr>
              <w:jc w:val="right"/>
              <w:rPr>
                <w:rFonts w:ascii="宋体" w:hAnsi="宋体"/>
              </w:rPr>
            </w:pPr>
            <w:r>
              <w:rPr>
                <w:rFonts w:hint="eastAsia" w:ascii="宋体" w:hAnsi="宋体"/>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vAlign w:val="top"/>
          </w:tcPr>
          <w:p>
            <w:pPr>
              <w:jc w:val="right"/>
              <w:rPr>
                <w:rFonts w:ascii="宋体" w:hAnsi="宋体"/>
              </w:rPr>
            </w:pPr>
            <w:r>
              <w:rPr>
                <w:rFonts w:hint="eastAsia" w:ascii="宋体" w:hAnsi="宋体"/>
              </w:rPr>
              <w:t>214,453,094.80</w:t>
            </w:r>
          </w:p>
        </w:tc>
        <w:tc>
          <w:tcPr>
            <w:tcW w:w="1749" w:type="dxa"/>
            <w:shd w:val="clear" w:color="auto" w:fill="auto"/>
            <w:vAlign w:val="top"/>
          </w:tcPr>
          <w:p>
            <w:pPr>
              <w:jc w:val="right"/>
              <w:rPr>
                <w:rFonts w:ascii="宋体" w:hAnsi="宋体"/>
              </w:rPr>
            </w:pPr>
            <w:r>
              <w:rPr>
                <w:rFonts w:hint="eastAsia" w:ascii="宋体" w:hAnsi="宋体"/>
              </w:rPr>
              <w:t>100.00</w:t>
            </w:r>
          </w:p>
        </w:tc>
        <w:tc>
          <w:tcPr>
            <w:tcW w:w="1653" w:type="dxa"/>
          </w:tcPr>
          <w:p>
            <w:pPr>
              <w:jc w:val="right"/>
              <w:rPr>
                <w:rFonts w:ascii="宋体" w:hAnsi="宋体"/>
              </w:rPr>
            </w:pPr>
            <w:r>
              <w:rPr>
                <w:rFonts w:hint="eastAsia" w:ascii="宋体" w:hAnsi="宋体"/>
              </w:rPr>
              <w:t>0.00</w:t>
            </w:r>
          </w:p>
        </w:tc>
        <w:tc>
          <w:tcPr>
            <w:tcW w:w="1705" w:type="dxa"/>
          </w:tcPr>
          <w:p>
            <w:pPr>
              <w:jc w:val="right"/>
              <w:rPr>
                <w:rFonts w:ascii="宋体" w:hAnsi="宋体"/>
              </w:rPr>
            </w:pPr>
            <w:r>
              <w:rPr>
                <w:rFonts w:hint="eastAsia" w:ascii="宋体" w:hAnsi="宋体"/>
              </w:rPr>
              <w:t>0.00</w:t>
            </w:r>
          </w:p>
        </w:tc>
      </w:tr>
    </w:tbl>
    <w:p>
      <w:pPr>
        <w:jc w:val="right"/>
        <w:rPr>
          <w:rFonts w:hint="eastAsia"/>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spacing w:line="360" w:lineRule="auto"/>
        <w:ind w:right="-107" w:rightChars="-51" w:firstLine="480" w:firstLineChars="200"/>
        <w:jc w:val="left"/>
        <w:rPr>
          <w:rFonts w:ascii="宋体" w:hAnsi="宋体"/>
          <w:szCs w:val="21"/>
        </w:rPr>
      </w:pPr>
      <w:r>
        <w:rPr>
          <w:rFonts w:hint="eastAsia" w:ascii="宋体" w:hAnsi="宋体"/>
          <w:sz w:val="24"/>
        </w:rPr>
        <w:t xml:space="preserve">   </w:t>
      </w:r>
      <w:r>
        <w:rPr>
          <w:rFonts w:hint="eastAsia" w:ascii="宋体" w:hAnsi="宋体"/>
          <w:szCs w:val="21"/>
        </w:rPr>
        <w:t>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jc w:val="left"/>
        <w:rPr>
          <w:rFonts w:asciiTheme="minorEastAsia" w:hAnsiTheme="minorEastAsia" w:eastAsiaTheme="minorEastAsia"/>
          <w:sz w:val="24"/>
        </w:rPr>
      </w:pP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w:t>
            </w:r>
          </w:p>
        </w:tc>
        <w:tc>
          <w:tcPr>
            <w:tcW w:w="3159" w:type="dxa"/>
            <w:shd w:val="clear" w:color="auto" w:fill="auto"/>
            <w:vAlign w:val="center"/>
          </w:tcPr>
          <w:p>
            <w:pPr>
              <w:rPr>
                <w:rFonts w:ascii="宋体" w:hAnsi="宋体"/>
                <w:szCs w:val="21"/>
              </w:rPr>
            </w:pPr>
            <w:r>
              <w:rPr>
                <w:rFonts w:ascii="宋体" w:hAnsi="宋体"/>
                <w:szCs w:val="21"/>
              </w:rPr>
              <w:t>GC007</w:t>
            </w:r>
          </w:p>
        </w:tc>
        <w:tc>
          <w:tcPr>
            <w:tcW w:w="2693" w:type="dxa"/>
            <w:shd w:val="clear" w:color="auto" w:fill="auto"/>
            <w:vAlign w:val="center"/>
          </w:tcPr>
          <w:p>
            <w:pPr>
              <w:jc w:val="right"/>
              <w:rPr>
                <w:rFonts w:ascii="宋体" w:hAnsi="宋体"/>
              </w:rPr>
            </w:pPr>
            <w:r>
              <w:rPr>
                <w:rFonts w:ascii="宋体" w:hAnsi="宋体"/>
              </w:rPr>
              <w:t>77,996,289.94</w:t>
            </w:r>
          </w:p>
        </w:tc>
        <w:tc>
          <w:tcPr>
            <w:tcW w:w="2431" w:type="dxa"/>
            <w:shd w:val="clear" w:color="auto" w:fill="auto"/>
            <w:vAlign w:val="center"/>
          </w:tcPr>
          <w:p>
            <w:pPr>
              <w:jc w:val="right"/>
              <w:rPr>
                <w:rFonts w:ascii="宋体" w:hAnsi="宋体"/>
              </w:rPr>
            </w:pPr>
            <w:r>
              <w:rPr>
                <w:rFonts w:ascii="宋体" w:hAnsi="宋体"/>
              </w:rPr>
              <w:t>37.12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2</w:t>
            </w:r>
          </w:p>
        </w:tc>
        <w:tc>
          <w:tcPr>
            <w:tcW w:w="3159" w:type="dxa"/>
            <w:shd w:val="clear" w:color="auto" w:fill="auto"/>
            <w:vAlign w:val="center"/>
          </w:tcPr>
          <w:p>
            <w:pPr>
              <w:rPr>
                <w:rFonts w:ascii="宋体" w:hAnsi="宋体"/>
                <w:szCs w:val="21"/>
              </w:rPr>
            </w:pPr>
            <w:r>
              <w:rPr>
                <w:rFonts w:ascii="宋体" w:hAnsi="宋体"/>
                <w:szCs w:val="21"/>
              </w:rPr>
              <w:t>24泸投01</w:t>
            </w:r>
          </w:p>
        </w:tc>
        <w:tc>
          <w:tcPr>
            <w:tcW w:w="2693" w:type="dxa"/>
            <w:shd w:val="clear" w:color="auto" w:fill="auto"/>
            <w:vAlign w:val="center"/>
          </w:tcPr>
          <w:p>
            <w:pPr>
              <w:jc w:val="right"/>
              <w:rPr>
                <w:rFonts w:ascii="宋体" w:hAnsi="宋体"/>
              </w:rPr>
            </w:pPr>
            <w:r>
              <w:rPr>
                <w:rFonts w:ascii="宋体" w:hAnsi="宋体"/>
              </w:rPr>
              <w:t>15,186,115.07</w:t>
            </w:r>
          </w:p>
        </w:tc>
        <w:tc>
          <w:tcPr>
            <w:tcW w:w="2431" w:type="dxa"/>
            <w:shd w:val="clear" w:color="auto" w:fill="auto"/>
            <w:vAlign w:val="center"/>
          </w:tcPr>
          <w:p>
            <w:pPr>
              <w:jc w:val="right"/>
              <w:rPr>
                <w:rFonts w:ascii="宋体" w:hAnsi="宋体"/>
              </w:rPr>
            </w:pPr>
            <w:r>
              <w:rPr>
                <w:rFonts w:ascii="宋体" w:hAnsi="宋体"/>
              </w:rPr>
              <w:t>7.23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3</w:t>
            </w:r>
          </w:p>
        </w:tc>
        <w:tc>
          <w:tcPr>
            <w:tcW w:w="3159" w:type="dxa"/>
            <w:shd w:val="clear" w:color="auto" w:fill="auto"/>
            <w:vAlign w:val="center"/>
          </w:tcPr>
          <w:p>
            <w:pPr>
              <w:rPr>
                <w:rFonts w:ascii="宋体" w:hAnsi="宋体"/>
                <w:szCs w:val="21"/>
              </w:rPr>
            </w:pPr>
            <w:r>
              <w:rPr>
                <w:rFonts w:ascii="宋体" w:hAnsi="宋体"/>
                <w:szCs w:val="21"/>
              </w:rPr>
              <w:t>24达州01</w:t>
            </w:r>
          </w:p>
        </w:tc>
        <w:tc>
          <w:tcPr>
            <w:tcW w:w="2693" w:type="dxa"/>
            <w:shd w:val="clear" w:color="auto" w:fill="auto"/>
            <w:vAlign w:val="center"/>
          </w:tcPr>
          <w:p>
            <w:pPr>
              <w:jc w:val="right"/>
              <w:rPr>
                <w:rFonts w:ascii="宋体" w:hAnsi="宋体"/>
              </w:rPr>
            </w:pPr>
            <w:r>
              <w:rPr>
                <w:rFonts w:ascii="宋体" w:hAnsi="宋体"/>
              </w:rPr>
              <w:t>15,122,473.97</w:t>
            </w:r>
          </w:p>
        </w:tc>
        <w:tc>
          <w:tcPr>
            <w:tcW w:w="2431" w:type="dxa"/>
            <w:shd w:val="clear" w:color="auto" w:fill="auto"/>
            <w:vAlign w:val="center"/>
          </w:tcPr>
          <w:p>
            <w:pPr>
              <w:jc w:val="right"/>
              <w:rPr>
                <w:rFonts w:ascii="宋体" w:hAnsi="宋体"/>
              </w:rPr>
            </w:pPr>
            <w:r>
              <w:rPr>
                <w:rFonts w:ascii="宋体" w:hAnsi="宋体"/>
              </w:rPr>
              <w:t>7.20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4</w:t>
            </w:r>
          </w:p>
        </w:tc>
        <w:tc>
          <w:tcPr>
            <w:tcW w:w="3159" w:type="dxa"/>
            <w:shd w:val="clear" w:color="auto" w:fill="auto"/>
            <w:vAlign w:val="center"/>
          </w:tcPr>
          <w:p>
            <w:pPr>
              <w:rPr>
                <w:rFonts w:ascii="宋体" w:hAnsi="宋体"/>
                <w:szCs w:val="21"/>
              </w:rPr>
            </w:pPr>
            <w:r>
              <w:rPr>
                <w:rFonts w:ascii="宋体" w:hAnsi="宋体"/>
                <w:szCs w:val="21"/>
              </w:rPr>
              <w:t>22川菜01</w:t>
            </w:r>
          </w:p>
        </w:tc>
        <w:tc>
          <w:tcPr>
            <w:tcW w:w="2693" w:type="dxa"/>
            <w:shd w:val="clear" w:color="auto" w:fill="auto"/>
            <w:vAlign w:val="center"/>
          </w:tcPr>
          <w:p>
            <w:pPr>
              <w:jc w:val="right"/>
              <w:rPr>
                <w:rFonts w:ascii="宋体" w:hAnsi="宋体"/>
              </w:rPr>
            </w:pPr>
            <w:r>
              <w:rPr>
                <w:rFonts w:ascii="宋体" w:hAnsi="宋体"/>
              </w:rPr>
              <w:t>12,594,920.55</w:t>
            </w:r>
          </w:p>
        </w:tc>
        <w:tc>
          <w:tcPr>
            <w:tcW w:w="2431" w:type="dxa"/>
            <w:shd w:val="clear" w:color="auto" w:fill="auto"/>
            <w:vAlign w:val="center"/>
          </w:tcPr>
          <w:p>
            <w:pPr>
              <w:jc w:val="right"/>
              <w:rPr>
                <w:rFonts w:ascii="宋体" w:hAnsi="宋体"/>
              </w:rPr>
            </w:pPr>
            <w:r>
              <w:rPr>
                <w:rFonts w:ascii="宋体" w:hAnsi="宋体"/>
              </w:rPr>
              <w:t>5.99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5</w:t>
            </w:r>
          </w:p>
        </w:tc>
        <w:tc>
          <w:tcPr>
            <w:tcW w:w="3159" w:type="dxa"/>
            <w:shd w:val="clear" w:color="auto" w:fill="auto"/>
            <w:vAlign w:val="center"/>
          </w:tcPr>
          <w:p>
            <w:pPr>
              <w:rPr>
                <w:rFonts w:ascii="宋体" w:hAnsi="宋体"/>
                <w:szCs w:val="21"/>
              </w:rPr>
            </w:pPr>
            <w:r>
              <w:rPr>
                <w:rFonts w:ascii="宋体" w:hAnsi="宋体"/>
                <w:szCs w:val="21"/>
              </w:rPr>
              <w:t>20香城投资MTN002</w:t>
            </w:r>
          </w:p>
        </w:tc>
        <w:tc>
          <w:tcPr>
            <w:tcW w:w="2693" w:type="dxa"/>
            <w:shd w:val="clear" w:color="auto" w:fill="auto"/>
            <w:vAlign w:val="center"/>
          </w:tcPr>
          <w:p>
            <w:pPr>
              <w:jc w:val="right"/>
              <w:rPr>
                <w:rFonts w:ascii="宋体" w:hAnsi="宋体"/>
              </w:rPr>
            </w:pPr>
            <w:r>
              <w:rPr>
                <w:rFonts w:ascii="宋体" w:hAnsi="宋体"/>
              </w:rPr>
              <w:t>10,234,698.63</w:t>
            </w:r>
          </w:p>
        </w:tc>
        <w:tc>
          <w:tcPr>
            <w:tcW w:w="2431" w:type="dxa"/>
            <w:shd w:val="clear" w:color="auto" w:fill="auto"/>
            <w:vAlign w:val="center"/>
          </w:tcPr>
          <w:p>
            <w:pPr>
              <w:jc w:val="right"/>
              <w:rPr>
                <w:rFonts w:ascii="宋体" w:hAnsi="宋体"/>
              </w:rPr>
            </w:pPr>
            <w:r>
              <w:rPr>
                <w:rFonts w:ascii="宋体" w:hAnsi="宋体"/>
              </w:rPr>
              <w:t>4.87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6</w:t>
            </w:r>
          </w:p>
        </w:tc>
        <w:tc>
          <w:tcPr>
            <w:tcW w:w="3159" w:type="dxa"/>
            <w:shd w:val="clear" w:color="auto" w:fill="auto"/>
            <w:vAlign w:val="center"/>
          </w:tcPr>
          <w:p>
            <w:pPr>
              <w:rPr>
                <w:rFonts w:ascii="宋体" w:hAnsi="宋体"/>
                <w:szCs w:val="21"/>
              </w:rPr>
            </w:pPr>
            <w:r>
              <w:rPr>
                <w:rFonts w:ascii="宋体" w:hAnsi="宋体"/>
                <w:szCs w:val="21"/>
              </w:rPr>
              <w:t>24达州03</w:t>
            </w:r>
          </w:p>
        </w:tc>
        <w:tc>
          <w:tcPr>
            <w:tcW w:w="2693" w:type="dxa"/>
            <w:shd w:val="clear" w:color="auto" w:fill="auto"/>
            <w:vAlign w:val="center"/>
          </w:tcPr>
          <w:p>
            <w:pPr>
              <w:jc w:val="right"/>
              <w:rPr>
                <w:rFonts w:ascii="宋体" w:hAnsi="宋体"/>
              </w:rPr>
            </w:pPr>
            <w:r>
              <w:rPr>
                <w:rFonts w:ascii="宋体" w:hAnsi="宋体"/>
              </w:rPr>
              <w:t>10,228,191.78</w:t>
            </w:r>
          </w:p>
        </w:tc>
        <w:tc>
          <w:tcPr>
            <w:tcW w:w="2431" w:type="dxa"/>
            <w:shd w:val="clear" w:color="auto" w:fill="auto"/>
            <w:vAlign w:val="center"/>
          </w:tcPr>
          <w:p>
            <w:pPr>
              <w:jc w:val="right"/>
              <w:rPr>
                <w:rFonts w:ascii="宋体" w:hAnsi="宋体"/>
              </w:rPr>
            </w:pPr>
            <w:r>
              <w:rPr>
                <w:rFonts w:ascii="宋体" w:hAnsi="宋体"/>
              </w:rPr>
              <w:t>4.87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7</w:t>
            </w:r>
          </w:p>
        </w:tc>
        <w:tc>
          <w:tcPr>
            <w:tcW w:w="3159" w:type="dxa"/>
            <w:shd w:val="clear" w:color="auto" w:fill="auto"/>
            <w:vAlign w:val="center"/>
          </w:tcPr>
          <w:p>
            <w:pPr>
              <w:rPr>
                <w:rFonts w:ascii="宋体" w:hAnsi="宋体"/>
                <w:szCs w:val="21"/>
              </w:rPr>
            </w:pPr>
            <w:r>
              <w:rPr>
                <w:rFonts w:ascii="宋体" w:hAnsi="宋体"/>
                <w:szCs w:val="21"/>
              </w:rPr>
              <w:t>24成经D2</w:t>
            </w:r>
          </w:p>
        </w:tc>
        <w:tc>
          <w:tcPr>
            <w:tcW w:w="2693" w:type="dxa"/>
            <w:shd w:val="clear" w:color="auto" w:fill="auto"/>
            <w:vAlign w:val="center"/>
          </w:tcPr>
          <w:p>
            <w:pPr>
              <w:jc w:val="right"/>
              <w:rPr>
                <w:rFonts w:ascii="宋体" w:hAnsi="宋体"/>
              </w:rPr>
            </w:pPr>
            <w:r>
              <w:rPr>
                <w:rFonts w:ascii="宋体" w:hAnsi="宋体"/>
              </w:rPr>
              <w:t>10,149,356.16</w:t>
            </w:r>
          </w:p>
        </w:tc>
        <w:tc>
          <w:tcPr>
            <w:tcW w:w="2431" w:type="dxa"/>
            <w:shd w:val="clear" w:color="auto" w:fill="auto"/>
            <w:vAlign w:val="center"/>
          </w:tcPr>
          <w:p>
            <w:pPr>
              <w:jc w:val="right"/>
              <w:rPr>
                <w:rFonts w:ascii="宋体" w:hAnsi="宋体"/>
              </w:rPr>
            </w:pPr>
            <w:r>
              <w:rPr>
                <w:rFonts w:ascii="宋体" w:hAnsi="宋体"/>
              </w:rPr>
              <w:t>4.83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8</w:t>
            </w:r>
          </w:p>
        </w:tc>
        <w:tc>
          <w:tcPr>
            <w:tcW w:w="3159" w:type="dxa"/>
            <w:shd w:val="clear" w:color="auto" w:fill="auto"/>
            <w:vAlign w:val="center"/>
          </w:tcPr>
          <w:p>
            <w:pPr>
              <w:rPr>
                <w:rFonts w:ascii="宋体" w:hAnsi="宋体"/>
                <w:szCs w:val="21"/>
              </w:rPr>
            </w:pPr>
            <w:r>
              <w:rPr>
                <w:rFonts w:ascii="宋体" w:hAnsi="宋体"/>
                <w:szCs w:val="21"/>
              </w:rPr>
              <w:t>24贵州银行CD054</w:t>
            </w:r>
          </w:p>
        </w:tc>
        <w:tc>
          <w:tcPr>
            <w:tcW w:w="2693" w:type="dxa"/>
            <w:shd w:val="clear" w:color="auto" w:fill="auto"/>
            <w:vAlign w:val="center"/>
          </w:tcPr>
          <w:p>
            <w:pPr>
              <w:jc w:val="right"/>
              <w:rPr>
                <w:rFonts w:ascii="宋体" w:hAnsi="宋体"/>
              </w:rPr>
            </w:pPr>
            <w:r>
              <w:rPr>
                <w:rFonts w:ascii="宋体" w:hAnsi="宋体"/>
              </w:rPr>
              <w:t>9,945,462.63</w:t>
            </w:r>
          </w:p>
        </w:tc>
        <w:tc>
          <w:tcPr>
            <w:tcW w:w="2431" w:type="dxa"/>
            <w:shd w:val="clear" w:color="auto" w:fill="auto"/>
            <w:vAlign w:val="center"/>
          </w:tcPr>
          <w:p>
            <w:pPr>
              <w:jc w:val="right"/>
              <w:rPr>
                <w:rFonts w:ascii="宋体" w:hAnsi="宋体"/>
              </w:rPr>
            </w:pPr>
            <w:r>
              <w:rPr>
                <w:rFonts w:ascii="宋体" w:hAnsi="宋体"/>
              </w:rPr>
              <w:t>4.73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9</w:t>
            </w:r>
          </w:p>
        </w:tc>
        <w:tc>
          <w:tcPr>
            <w:tcW w:w="3159" w:type="dxa"/>
            <w:shd w:val="clear" w:color="auto" w:fill="auto"/>
            <w:vAlign w:val="center"/>
          </w:tcPr>
          <w:p>
            <w:pPr>
              <w:rPr>
                <w:rFonts w:ascii="宋体" w:hAnsi="宋体"/>
                <w:szCs w:val="21"/>
              </w:rPr>
            </w:pPr>
            <w:r>
              <w:rPr>
                <w:rFonts w:ascii="宋体" w:hAnsi="宋体"/>
                <w:szCs w:val="21"/>
              </w:rPr>
              <w:t>24日照银行CD090</w:t>
            </w:r>
          </w:p>
        </w:tc>
        <w:tc>
          <w:tcPr>
            <w:tcW w:w="2693" w:type="dxa"/>
            <w:shd w:val="clear" w:color="auto" w:fill="auto"/>
            <w:vAlign w:val="center"/>
          </w:tcPr>
          <w:p>
            <w:pPr>
              <w:jc w:val="right"/>
              <w:rPr>
                <w:rFonts w:ascii="宋体" w:hAnsi="宋体"/>
              </w:rPr>
            </w:pPr>
            <w:r>
              <w:rPr>
                <w:rFonts w:ascii="宋体" w:hAnsi="宋体"/>
              </w:rPr>
              <w:t>9,895,712.88</w:t>
            </w:r>
          </w:p>
        </w:tc>
        <w:tc>
          <w:tcPr>
            <w:tcW w:w="2431" w:type="dxa"/>
            <w:shd w:val="clear" w:color="auto" w:fill="auto"/>
            <w:vAlign w:val="center"/>
          </w:tcPr>
          <w:p>
            <w:pPr>
              <w:jc w:val="right"/>
              <w:rPr>
                <w:rFonts w:ascii="宋体" w:hAnsi="宋体"/>
              </w:rPr>
            </w:pPr>
            <w:r>
              <w:rPr>
                <w:rFonts w:ascii="宋体" w:hAnsi="宋体"/>
              </w:rPr>
              <w:t>4.71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rFonts w:ascii="宋体" w:hAnsi="宋体"/>
                <w:szCs w:val="21"/>
              </w:rPr>
            </w:pPr>
            <w:r>
              <w:rPr>
                <w:rFonts w:hint="eastAsia" w:ascii="宋体" w:hAnsi="宋体"/>
                <w:szCs w:val="21"/>
              </w:rPr>
              <w:t>10</w:t>
            </w:r>
          </w:p>
        </w:tc>
        <w:tc>
          <w:tcPr>
            <w:tcW w:w="3159" w:type="dxa"/>
            <w:shd w:val="clear" w:color="auto" w:fill="auto"/>
            <w:vAlign w:val="center"/>
          </w:tcPr>
          <w:p>
            <w:pPr>
              <w:rPr>
                <w:rFonts w:ascii="宋体" w:hAnsi="宋体"/>
                <w:szCs w:val="21"/>
              </w:rPr>
            </w:pPr>
            <w:r>
              <w:rPr>
                <w:rFonts w:ascii="宋体" w:hAnsi="宋体"/>
                <w:szCs w:val="21"/>
              </w:rPr>
              <w:t>24乌鲁木齐银行CD126</w:t>
            </w:r>
          </w:p>
        </w:tc>
        <w:tc>
          <w:tcPr>
            <w:tcW w:w="2693" w:type="dxa"/>
            <w:shd w:val="clear" w:color="auto" w:fill="auto"/>
            <w:vAlign w:val="center"/>
          </w:tcPr>
          <w:p>
            <w:pPr>
              <w:jc w:val="right"/>
              <w:rPr>
                <w:rFonts w:ascii="宋体" w:hAnsi="宋体"/>
              </w:rPr>
            </w:pPr>
            <w:r>
              <w:rPr>
                <w:rFonts w:ascii="宋体" w:hAnsi="宋体"/>
              </w:rPr>
              <w:t>9,895,117.15</w:t>
            </w:r>
          </w:p>
        </w:tc>
        <w:tc>
          <w:tcPr>
            <w:tcW w:w="2431" w:type="dxa"/>
            <w:shd w:val="clear" w:color="auto" w:fill="auto"/>
            <w:vAlign w:val="center"/>
          </w:tcPr>
          <w:p>
            <w:pPr>
              <w:jc w:val="right"/>
              <w:rPr>
                <w:rFonts w:ascii="宋体" w:hAnsi="宋体"/>
              </w:rPr>
            </w:pPr>
            <w:bookmarkStart w:id="3" w:name="OLE_LINK6"/>
            <w:bookmarkStart w:id="4" w:name="OLE_LINK5"/>
            <w:r>
              <w:rPr>
                <w:rFonts w:ascii="宋体" w:hAnsi="宋体"/>
              </w:rPr>
              <w:t>4.71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注：前十项资产明细仅包含证券投资、场外投资，不包含银行存款、存出保证金、清算备付金等资产。</w:t>
      </w:r>
    </w:p>
    <w:p>
      <w:pPr>
        <w:pStyle w:val="40"/>
        <w:rPr>
          <w:highlight w:val="none"/>
        </w:rPr>
      </w:pPr>
      <w:r>
        <w:rPr>
          <w:highlight w:val="none"/>
        </w:rPr>
        <w:t>托管人报告</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1</w:t>
      </w:r>
      <w:r>
        <w:rPr>
          <w:rFonts w:hint="eastAsia" w:ascii="宋体" w:hAnsi="宋体"/>
          <w:szCs w:val="21"/>
          <w:highlight w:val="none"/>
        </w:rPr>
        <w:t>）托管资产保管</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托管资产独立于</w:t>
      </w:r>
      <w:r>
        <w:rPr>
          <w:rFonts w:hint="eastAsia" w:ascii="宋体" w:hAnsi="宋体"/>
          <w:szCs w:val="21"/>
          <w:highlight w:val="none"/>
          <w:lang w:val="en-US" w:eastAsia="zh-CN"/>
        </w:rPr>
        <w:t>招商银行</w:t>
      </w:r>
      <w:r>
        <w:rPr>
          <w:rFonts w:hint="eastAsia" w:ascii="宋体" w:hAnsi="宋体"/>
          <w:szCs w:val="21"/>
          <w:highlight w:val="none"/>
        </w:rPr>
        <w:t>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2</w:t>
      </w:r>
      <w:r>
        <w:rPr>
          <w:rFonts w:hint="eastAsia" w:ascii="宋体" w:hAnsi="宋体"/>
          <w:szCs w:val="21"/>
          <w:highlight w:val="none"/>
        </w:rPr>
        <w:t>）会计核算和估值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我行按照与四川银行股份有限公司在托管协议中约定的统一记账方法和会计处理原则，独立地设置、登录和保管本产品的全套账册，进行会计核算和资产估值。</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3</w:t>
      </w:r>
      <w:r>
        <w:rPr>
          <w:rFonts w:hint="eastAsia" w:ascii="宋体" w:hAnsi="宋体"/>
          <w:szCs w:val="21"/>
          <w:highlight w:val="none"/>
        </w:rPr>
        <w:t>）定期核对有关数据</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我行根据托管协议约定与四川银行股份有限公司定期进行账务核对。</w:t>
      </w:r>
    </w:p>
    <w:p>
      <w:pPr>
        <w:spacing w:line="360" w:lineRule="auto"/>
        <w:ind w:right="-107" w:rightChars="-51" w:firstLine="420" w:firstLineChars="200"/>
        <w:jc w:val="left"/>
        <w:rPr>
          <w:rFonts w:ascii="宋体" w:hAnsi="宋体"/>
          <w:szCs w:val="21"/>
          <w:highlight w:val="none"/>
        </w:rPr>
      </w:pPr>
      <w:r>
        <w:rPr>
          <w:rFonts w:hint="eastAsia" w:ascii="宋体" w:hAnsi="宋体"/>
          <w:szCs w:val="21"/>
          <w:highlight w:val="none"/>
        </w:rPr>
        <w:t>（</w:t>
      </w:r>
      <w:r>
        <w:rPr>
          <w:rFonts w:hint="eastAsia" w:ascii="宋体" w:hAnsi="宋体"/>
          <w:szCs w:val="21"/>
          <w:highlight w:val="none"/>
          <w:lang w:val="en-US" w:eastAsia="zh-CN"/>
        </w:rPr>
        <w:t>4</w:t>
      </w:r>
      <w:r>
        <w:rPr>
          <w:rFonts w:hint="eastAsia" w:ascii="宋体" w:hAnsi="宋体"/>
          <w:szCs w:val="21"/>
          <w:highlight w:val="none"/>
        </w:rPr>
        <w:t>）投资监督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lang w:val="en-US" w:eastAsia="zh-CN"/>
        </w:rPr>
        <w:t>招商银行</w:t>
      </w:r>
      <w:r>
        <w:rPr>
          <w:rFonts w:hint="eastAsia" w:ascii="宋体" w:hAnsi="宋体"/>
          <w:szCs w:val="21"/>
          <w:highlight w:val="none"/>
        </w:rPr>
        <w:t>根据法规、托管协议以及双方约定的投资监督条款，对投资运作情况进行监督。</w:t>
      </w:r>
    </w:p>
    <w:p>
      <w:pPr>
        <w:spacing w:line="360" w:lineRule="auto"/>
        <w:ind w:right="-107" w:rightChars="-51" w:firstLine="420" w:firstLineChars="200"/>
        <w:jc w:val="left"/>
        <w:rPr>
          <w:rFonts w:hint="eastAsia" w:ascii="宋体" w:hAnsi="宋体"/>
          <w:szCs w:val="21"/>
          <w:highlight w:val="none"/>
        </w:rPr>
      </w:pPr>
      <w:r>
        <w:rPr>
          <w:rFonts w:hint="eastAsia" w:ascii="宋体" w:hAnsi="宋体"/>
          <w:szCs w:val="21"/>
          <w:highlight w:val="none"/>
        </w:rPr>
        <w:t>托管人声明：</w:t>
      </w:r>
      <w:r>
        <w:rPr>
          <w:rFonts w:hint="eastAsia" w:ascii="宋体" w:hAnsi="宋体"/>
          <w:szCs w:val="21"/>
          <w:highlight w:val="none"/>
          <w:lang w:val="en-US" w:eastAsia="zh-CN"/>
        </w:rPr>
        <w:t>招商银行</w:t>
      </w:r>
      <w:r>
        <w:rPr>
          <w:rFonts w:hint="eastAsia" w:ascii="宋体" w:hAnsi="宋体"/>
          <w:szCs w:val="21"/>
          <w:highlight w:val="none"/>
        </w:rPr>
        <w:t>具备完善的公司治理结构、内部稽核监控制度和风险控制制度，我行在</w:t>
      </w:r>
    </w:p>
    <w:p>
      <w:pPr>
        <w:spacing w:line="360" w:lineRule="auto"/>
        <w:ind w:right="-107" w:rightChars="-51"/>
        <w:jc w:val="left"/>
        <w:rPr>
          <w:rFonts w:ascii="宋体" w:hAnsi="宋体"/>
          <w:szCs w:val="21"/>
          <w:highlight w:val="none"/>
        </w:rPr>
      </w:pPr>
      <w:r>
        <w:rPr>
          <w:rFonts w:hint="eastAsia" w:ascii="宋体" w:hAnsi="宋体"/>
          <w:szCs w:val="21"/>
          <w:highlight w:val="none"/>
        </w:rPr>
        <w:t>四川银行定开系列3个月4号净值型理财产品托管的过程中，严格遵守有关法律法规、托管协议的规定，尽职尽责地履行托管义务并安全保管托管资产。</w:t>
      </w:r>
      <w:bookmarkStart w:id="5" w:name="_GoBack"/>
      <w:bookmarkEnd w:id="5"/>
    </w:p>
    <w:p>
      <w:pPr>
        <w:pStyle w:val="40"/>
        <w:rPr>
          <w:highlight w:val="none"/>
        </w:rPr>
      </w:pPr>
      <w:r>
        <w:rPr>
          <w:rFonts w:hint="eastAsia"/>
          <w:highlight w:val="none"/>
          <w:lang w:val="en-US"/>
        </w:rPr>
        <w:t>关联交易情况说明</w:t>
      </w:r>
    </w:p>
    <w:p>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2025-03-31</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54BC"/>
    <w:rsid w:val="000957D7"/>
    <w:rsid w:val="00096252"/>
    <w:rsid w:val="000A0247"/>
    <w:rsid w:val="000A1C35"/>
    <w:rsid w:val="000B049B"/>
    <w:rsid w:val="000B12F7"/>
    <w:rsid w:val="000B65EC"/>
    <w:rsid w:val="000C0357"/>
    <w:rsid w:val="000C5B47"/>
    <w:rsid w:val="000D078C"/>
    <w:rsid w:val="000D4CEA"/>
    <w:rsid w:val="000D5DDE"/>
    <w:rsid w:val="000E103E"/>
    <w:rsid w:val="000E2280"/>
    <w:rsid w:val="000E5BF4"/>
    <w:rsid w:val="000E7303"/>
    <w:rsid w:val="000E7594"/>
    <w:rsid w:val="000E7EE4"/>
    <w:rsid w:val="000F1CA3"/>
    <w:rsid w:val="000F1EB8"/>
    <w:rsid w:val="000F79B4"/>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9201F"/>
    <w:rsid w:val="00196688"/>
    <w:rsid w:val="001A6A60"/>
    <w:rsid w:val="001A6DCE"/>
    <w:rsid w:val="001B0D81"/>
    <w:rsid w:val="001B2258"/>
    <w:rsid w:val="001B3575"/>
    <w:rsid w:val="001B43F0"/>
    <w:rsid w:val="001C4ACD"/>
    <w:rsid w:val="001C5999"/>
    <w:rsid w:val="001D364E"/>
    <w:rsid w:val="001E1A37"/>
    <w:rsid w:val="001E27AF"/>
    <w:rsid w:val="001E2A08"/>
    <w:rsid w:val="001E4B7A"/>
    <w:rsid w:val="001E7354"/>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85198"/>
    <w:rsid w:val="0028673C"/>
    <w:rsid w:val="00291837"/>
    <w:rsid w:val="00293CED"/>
    <w:rsid w:val="002A1060"/>
    <w:rsid w:val="002A6967"/>
    <w:rsid w:val="002B18D0"/>
    <w:rsid w:val="002B1BF7"/>
    <w:rsid w:val="002B2425"/>
    <w:rsid w:val="002B5C75"/>
    <w:rsid w:val="002B6AB0"/>
    <w:rsid w:val="002B6D92"/>
    <w:rsid w:val="002C0D52"/>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70E3"/>
    <w:rsid w:val="003217E4"/>
    <w:rsid w:val="003245FC"/>
    <w:rsid w:val="003350C8"/>
    <w:rsid w:val="00336953"/>
    <w:rsid w:val="0034174F"/>
    <w:rsid w:val="00347E59"/>
    <w:rsid w:val="0035009E"/>
    <w:rsid w:val="00351099"/>
    <w:rsid w:val="00352670"/>
    <w:rsid w:val="0035379B"/>
    <w:rsid w:val="003545C4"/>
    <w:rsid w:val="00354AB0"/>
    <w:rsid w:val="00355F58"/>
    <w:rsid w:val="00362921"/>
    <w:rsid w:val="003629D6"/>
    <w:rsid w:val="0036621F"/>
    <w:rsid w:val="00370236"/>
    <w:rsid w:val="00370D1C"/>
    <w:rsid w:val="0037107A"/>
    <w:rsid w:val="0037163C"/>
    <w:rsid w:val="00372961"/>
    <w:rsid w:val="00373861"/>
    <w:rsid w:val="0037574C"/>
    <w:rsid w:val="00380B72"/>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15C27"/>
    <w:rsid w:val="004169FD"/>
    <w:rsid w:val="00420876"/>
    <w:rsid w:val="0042283D"/>
    <w:rsid w:val="004332EF"/>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B6EF6"/>
    <w:rsid w:val="004C126D"/>
    <w:rsid w:val="004C2C74"/>
    <w:rsid w:val="004C439A"/>
    <w:rsid w:val="004C56A8"/>
    <w:rsid w:val="004C689C"/>
    <w:rsid w:val="004D2B6B"/>
    <w:rsid w:val="004D2D2A"/>
    <w:rsid w:val="004E2CFE"/>
    <w:rsid w:val="004E344E"/>
    <w:rsid w:val="004E4E80"/>
    <w:rsid w:val="004E53DD"/>
    <w:rsid w:val="004F50D0"/>
    <w:rsid w:val="004F55AB"/>
    <w:rsid w:val="004F5803"/>
    <w:rsid w:val="004F64A1"/>
    <w:rsid w:val="00500777"/>
    <w:rsid w:val="00501D92"/>
    <w:rsid w:val="00503B75"/>
    <w:rsid w:val="005066A6"/>
    <w:rsid w:val="00511DB9"/>
    <w:rsid w:val="00513688"/>
    <w:rsid w:val="00513763"/>
    <w:rsid w:val="00524F71"/>
    <w:rsid w:val="00527A49"/>
    <w:rsid w:val="005310A6"/>
    <w:rsid w:val="0053595B"/>
    <w:rsid w:val="00537901"/>
    <w:rsid w:val="00540DE6"/>
    <w:rsid w:val="00542A91"/>
    <w:rsid w:val="0054387B"/>
    <w:rsid w:val="005465B6"/>
    <w:rsid w:val="00554065"/>
    <w:rsid w:val="00555D8D"/>
    <w:rsid w:val="00560EAF"/>
    <w:rsid w:val="00572059"/>
    <w:rsid w:val="00573E83"/>
    <w:rsid w:val="005775FA"/>
    <w:rsid w:val="00583550"/>
    <w:rsid w:val="00591622"/>
    <w:rsid w:val="005947ED"/>
    <w:rsid w:val="00596277"/>
    <w:rsid w:val="005B6C71"/>
    <w:rsid w:val="005C208D"/>
    <w:rsid w:val="005C6300"/>
    <w:rsid w:val="005D0C97"/>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5902"/>
    <w:rsid w:val="006664D5"/>
    <w:rsid w:val="00667447"/>
    <w:rsid w:val="0067267E"/>
    <w:rsid w:val="00675178"/>
    <w:rsid w:val="006761C2"/>
    <w:rsid w:val="006771FF"/>
    <w:rsid w:val="00682943"/>
    <w:rsid w:val="00683D3B"/>
    <w:rsid w:val="006876F4"/>
    <w:rsid w:val="00692A30"/>
    <w:rsid w:val="00693EF1"/>
    <w:rsid w:val="00697DB7"/>
    <w:rsid w:val="006A307A"/>
    <w:rsid w:val="006B0B91"/>
    <w:rsid w:val="006B24E7"/>
    <w:rsid w:val="006B554E"/>
    <w:rsid w:val="006B5B87"/>
    <w:rsid w:val="006C21A8"/>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710F9C"/>
    <w:rsid w:val="00711860"/>
    <w:rsid w:val="00714D1B"/>
    <w:rsid w:val="00717029"/>
    <w:rsid w:val="00720312"/>
    <w:rsid w:val="0072202C"/>
    <w:rsid w:val="0072288E"/>
    <w:rsid w:val="00730BF8"/>
    <w:rsid w:val="007313AE"/>
    <w:rsid w:val="0073667E"/>
    <w:rsid w:val="00740012"/>
    <w:rsid w:val="00741F34"/>
    <w:rsid w:val="00745B3A"/>
    <w:rsid w:val="0074780F"/>
    <w:rsid w:val="007502BB"/>
    <w:rsid w:val="007520B7"/>
    <w:rsid w:val="00752D2E"/>
    <w:rsid w:val="007539EE"/>
    <w:rsid w:val="00756CFF"/>
    <w:rsid w:val="00762F4A"/>
    <w:rsid w:val="007633CA"/>
    <w:rsid w:val="007663F0"/>
    <w:rsid w:val="00774DB3"/>
    <w:rsid w:val="00777511"/>
    <w:rsid w:val="00782BD3"/>
    <w:rsid w:val="00783A2D"/>
    <w:rsid w:val="0078701B"/>
    <w:rsid w:val="0079003D"/>
    <w:rsid w:val="00790F54"/>
    <w:rsid w:val="0079349C"/>
    <w:rsid w:val="007957D3"/>
    <w:rsid w:val="007A41FE"/>
    <w:rsid w:val="007A4FF1"/>
    <w:rsid w:val="007A5C4C"/>
    <w:rsid w:val="007A6008"/>
    <w:rsid w:val="007A66E8"/>
    <w:rsid w:val="007A67A8"/>
    <w:rsid w:val="007A6D6E"/>
    <w:rsid w:val="007C00B5"/>
    <w:rsid w:val="007C271F"/>
    <w:rsid w:val="007D4695"/>
    <w:rsid w:val="007D5F69"/>
    <w:rsid w:val="007D7D2D"/>
    <w:rsid w:val="007E24A8"/>
    <w:rsid w:val="007E6BBB"/>
    <w:rsid w:val="007F261A"/>
    <w:rsid w:val="007F4389"/>
    <w:rsid w:val="00805841"/>
    <w:rsid w:val="008067E9"/>
    <w:rsid w:val="008138C2"/>
    <w:rsid w:val="008207FC"/>
    <w:rsid w:val="00824A1A"/>
    <w:rsid w:val="0082723D"/>
    <w:rsid w:val="00830FB1"/>
    <w:rsid w:val="008318D4"/>
    <w:rsid w:val="00835C56"/>
    <w:rsid w:val="00835F60"/>
    <w:rsid w:val="0083628C"/>
    <w:rsid w:val="00840509"/>
    <w:rsid w:val="00840E2A"/>
    <w:rsid w:val="00841B85"/>
    <w:rsid w:val="0084484A"/>
    <w:rsid w:val="00845EAD"/>
    <w:rsid w:val="008509BD"/>
    <w:rsid w:val="008518FE"/>
    <w:rsid w:val="008631C4"/>
    <w:rsid w:val="00863246"/>
    <w:rsid w:val="008647E2"/>
    <w:rsid w:val="00865A3B"/>
    <w:rsid w:val="00867C1C"/>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200D9"/>
    <w:rsid w:val="00924290"/>
    <w:rsid w:val="0093136C"/>
    <w:rsid w:val="009361E0"/>
    <w:rsid w:val="00940851"/>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F30"/>
    <w:rsid w:val="009E7949"/>
    <w:rsid w:val="009F1173"/>
    <w:rsid w:val="009F2CE7"/>
    <w:rsid w:val="009F6300"/>
    <w:rsid w:val="00A03DAA"/>
    <w:rsid w:val="00A053A7"/>
    <w:rsid w:val="00A07072"/>
    <w:rsid w:val="00A1398C"/>
    <w:rsid w:val="00A16209"/>
    <w:rsid w:val="00A179D8"/>
    <w:rsid w:val="00A17F78"/>
    <w:rsid w:val="00A217B1"/>
    <w:rsid w:val="00A226D6"/>
    <w:rsid w:val="00A326C7"/>
    <w:rsid w:val="00A34E4F"/>
    <w:rsid w:val="00A36005"/>
    <w:rsid w:val="00A36F6E"/>
    <w:rsid w:val="00A40FDD"/>
    <w:rsid w:val="00A43B1A"/>
    <w:rsid w:val="00A476E2"/>
    <w:rsid w:val="00A52E27"/>
    <w:rsid w:val="00A66B88"/>
    <w:rsid w:val="00A7059A"/>
    <w:rsid w:val="00A73CCB"/>
    <w:rsid w:val="00A754BF"/>
    <w:rsid w:val="00A80900"/>
    <w:rsid w:val="00A9256F"/>
    <w:rsid w:val="00A94073"/>
    <w:rsid w:val="00A95724"/>
    <w:rsid w:val="00A97609"/>
    <w:rsid w:val="00AA0964"/>
    <w:rsid w:val="00AA0D73"/>
    <w:rsid w:val="00AB0553"/>
    <w:rsid w:val="00AB7F1E"/>
    <w:rsid w:val="00AC0253"/>
    <w:rsid w:val="00AC760B"/>
    <w:rsid w:val="00AD0E90"/>
    <w:rsid w:val="00AD267E"/>
    <w:rsid w:val="00AD5950"/>
    <w:rsid w:val="00AE7B09"/>
    <w:rsid w:val="00AF4B02"/>
    <w:rsid w:val="00AF5C38"/>
    <w:rsid w:val="00B01D6A"/>
    <w:rsid w:val="00B0308C"/>
    <w:rsid w:val="00B10E2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A2FE9"/>
    <w:rsid w:val="00BB2C8E"/>
    <w:rsid w:val="00BB3836"/>
    <w:rsid w:val="00BC6F6D"/>
    <w:rsid w:val="00BC79AA"/>
    <w:rsid w:val="00BC7BE2"/>
    <w:rsid w:val="00BD01DA"/>
    <w:rsid w:val="00BD1DC0"/>
    <w:rsid w:val="00BE1D4B"/>
    <w:rsid w:val="00BE2BF0"/>
    <w:rsid w:val="00BE491C"/>
    <w:rsid w:val="00BE4F1C"/>
    <w:rsid w:val="00BE6F0A"/>
    <w:rsid w:val="00BE7278"/>
    <w:rsid w:val="00BF2E9E"/>
    <w:rsid w:val="00BF5021"/>
    <w:rsid w:val="00BF6960"/>
    <w:rsid w:val="00C00573"/>
    <w:rsid w:val="00C01D6D"/>
    <w:rsid w:val="00C0394B"/>
    <w:rsid w:val="00C101D8"/>
    <w:rsid w:val="00C15724"/>
    <w:rsid w:val="00C16678"/>
    <w:rsid w:val="00C21599"/>
    <w:rsid w:val="00C244B2"/>
    <w:rsid w:val="00C30868"/>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5096"/>
    <w:rsid w:val="00D2614B"/>
    <w:rsid w:val="00D3035E"/>
    <w:rsid w:val="00D30B4B"/>
    <w:rsid w:val="00D31FD3"/>
    <w:rsid w:val="00D3496C"/>
    <w:rsid w:val="00D3643E"/>
    <w:rsid w:val="00D40841"/>
    <w:rsid w:val="00D411DB"/>
    <w:rsid w:val="00D452EA"/>
    <w:rsid w:val="00D57ABE"/>
    <w:rsid w:val="00D60D0A"/>
    <w:rsid w:val="00D63034"/>
    <w:rsid w:val="00D664DF"/>
    <w:rsid w:val="00D72C48"/>
    <w:rsid w:val="00D7572D"/>
    <w:rsid w:val="00D76EC7"/>
    <w:rsid w:val="00D806F7"/>
    <w:rsid w:val="00D90E8B"/>
    <w:rsid w:val="00D964B6"/>
    <w:rsid w:val="00DA06CF"/>
    <w:rsid w:val="00DA2107"/>
    <w:rsid w:val="00DA482F"/>
    <w:rsid w:val="00DA4F8D"/>
    <w:rsid w:val="00DA567B"/>
    <w:rsid w:val="00DA700A"/>
    <w:rsid w:val="00DB10DE"/>
    <w:rsid w:val="00DC0BCD"/>
    <w:rsid w:val="00DC63EA"/>
    <w:rsid w:val="00DC7755"/>
    <w:rsid w:val="00DD0776"/>
    <w:rsid w:val="00DD2D10"/>
    <w:rsid w:val="00DD493A"/>
    <w:rsid w:val="00DE0BA7"/>
    <w:rsid w:val="00DF1B60"/>
    <w:rsid w:val="00DF64FE"/>
    <w:rsid w:val="00DF70DD"/>
    <w:rsid w:val="00E05CBD"/>
    <w:rsid w:val="00E133C1"/>
    <w:rsid w:val="00E13A22"/>
    <w:rsid w:val="00E22023"/>
    <w:rsid w:val="00E24F6C"/>
    <w:rsid w:val="00E25FBD"/>
    <w:rsid w:val="00E27C54"/>
    <w:rsid w:val="00E33DFC"/>
    <w:rsid w:val="00E36DC0"/>
    <w:rsid w:val="00E40C11"/>
    <w:rsid w:val="00E504F9"/>
    <w:rsid w:val="00E5307C"/>
    <w:rsid w:val="00E5314E"/>
    <w:rsid w:val="00E538A2"/>
    <w:rsid w:val="00E65FF2"/>
    <w:rsid w:val="00E67113"/>
    <w:rsid w:val="00E67390"/>
    <w:rsid w:val="00E732A5"/>
    <w:rsid w:val="00E757CD"/>
    <w:rsid w:val="00E76293"/>
    <w:rsid w:val="00E773EF"/>
    <w:rsid w:val="00E841D0"/>
    <w:rsid w:val="00E84CB6"/>
    <w:rsid w:val="00E8759A"/>
    <w:rsid w:val="00E915A7"/>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4D29"/>
    <w:rsid w:val="00F35C2C"/>
    <w:rsid w:val="00F36C13"/>
    <w:rsid w:val="00F44F0C"/>
    <w:rsid w:val="00F45974"/>
    <w:rsid w:val="00F45EFD"/>
    <w:rsid w:val="00F51B8A"/>
    <w:rsid w:val="00F53A4B"/>
    <w:rsid w:val="00F64D16"/>
    <w:rsid w:val="00F65B50"/>
    <w:rsid w:val="00F66D00"/>
    <w:rsid w:val="00F67B3D"/>
    <w:rsid w:val="00F733D2"/>
    <w:rsid w:val="00F87CF1"/>
    <w:rsid w:val="00F906DF"/>
    <w:rsid w:val="00F934DE"/>
    <w:rsid w:val="00F941F7"/>
    <w:rsid w:val="00F95832"/>
    <w:rsid w:val="00F9693E"/>
    <w:rsid w:val="00F973AF"/>
    <w:rsid w:val="00F9745A"/>
    <w:rsid w:val="00FA5CE9"/>
    <w:rsid w:val="00FA6695"/>
    <w:rsid w:val="00FA794C"/>
    <w:rsid w:val="00FB1C77"/>
    <w:rsid w:val="00FB3F6A"/>
    <w:rsid w:val="00FD2905"/>
    <w:rsid w:val="00FE1CEA"/>
    <w:rsid w:val="00FE3C8E"/>
    <w:rsid w:val="00FE3E86"/>
    <w:rsid w:val="00FE4490"/>
    <w:rsid w:val="00FE51F2"/>
    <w:rsid w:val="00FE52AD"/>
    <w:rsid w:val="00FE5547"/>
    <w:rsid w:val="00FF15E9"/>
    <w:rsid w:val="00FF6973"/>
    <w:rsid w:val="04034F27"/>
    <w:rsid w:val="0625768A"/>
    <w:rsid w:val="134C76E8"/>
    <w:rsid w:val="22F80CAF"/>
    <w:rsid w:val="23AB2840"/>
    <w:rsid w:val="2FC23DC4"/>
    <w:rsid w:val="339E2F39"/>
    <w:rsid w:val="38A16717"/>
    <w:rsid w:val="46A87316"/>
    <w:rsid w:val="512D246A"/>
    <w:rsid w:val="54B27197"/>
    <w:rsid w:val="5A9E6B68"/>
    <w:rsid w:val="769122E5"/>
    <w:rsid w:val="789A33D8"/>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iPriority="22" w:name="Strong"/>
    <w:lsdException w:qFormat="1" w:uiPriority="2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字符"/>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字符"/>
    <w:link w:val="12"/>
    <w:qFormat/>
    <w:uiPriority w:val="0"/>
    <w:rPr>
      <w:rFonts w:ascii="Cambria" w:hAnsi="Cambria" w:eastAsia="宋体" w:cs="Times New Roman"/>
      <w:b/>
      <w:kern w:val="28"/>
      <w:sz w:val="24"/>
      <w:szCs w:val="32"/>
    </w:rPr>
  </w:style>
  <w:style w:type="character" w:customStyle="1" w:styleId="26">
    <w:name w:val="标题 1 字符"/>
    <w:link w:val="2"/>
    <w:qFormat/>
    <w:uiPriority w:val="9"/>
    <w:rPr>
      <w:b/>
      <w:bCs/>
      <w:kern w:val="44"/>
      <w:sz w:val="44"/>
      <w:szCs w:val="44"/>
    </w:rPr>
  </w:style>
  <w:style w:type="character" w:customStyle="1" w:styleId="27">
    <w:name w:val="标题 2 字符"/>
    <w:link w:val="3"/>
    <w:qFormat/>
    <w:uiPriority w:val="9"/>
    <w:rPr>
      <w:rFonts w:ascii="Cambria" w:hAnsi="Cambria" w:eastAsia="宋体" w:cs="Times New Roman"/>
      <w:b/>
      <w:bCs/>
      <w:sz w:val="32"/>
      <w:szCs w:val="32"/>
    </w:rPr>
  </w:style>
  <w:style w:type="character" w:customStyle="1" w:styleId="28">
    <w:name w:val="标题 字符"/>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字符"/>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字符"/>
    <w:link w:val="13"/>
    <w:qFormat/>
    <w:uiPriority w:val="0"/>
    <w:rPr>
      <w:kern w:val="2"/>
      <w:sz w:val="18"/>
      <w:szCs w:val="18"/>
    </w:rPr>
  </w:style>
  <w:style w:type="character" w:customStyle="1" w:styleId="48">
    <w:name w:val="日期 字符"/>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33ED8-1EE1-4735-B60D-886198643719}">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292</Words>
  <Characters>1665</Characters>
  <Lines>13</Lines>
  <Paragraphs>3</Paragraphs>
  <TotalTime>1</TotalTime>
  <ScaleCrop>false</ScaleCrop>
  <LinksUpToDate>false</LinksUpToDate>
  <CharactersWithSpaces>1954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2020-01-07T12:08:00Z</dcterms:created>
  <dc:creator>yss</dc:creator>
  <cp:lastModifiedBy>01142875</cp:lastModifiedBy>
  <cp:lastPrinted>2411-12-31T16:00:00Z</cp:lastPrinted>
  <dcterms:modified xsi:type="dcterms:W3CDTF">2025-01-16T06:46:06Z</dcterms:modified>
  <dc:title>gongGaoMingCheng</dc:title>
  <cp:revision>149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ED34D9402E1A4C98B96527F311C55F7A</vt:lpwstr>
  </property>
  <property fmtid="{D5CDD505-2E9C-101B-9397-08002B2CF9AE}" pid="4" name="Generator">
    <vt:lpwstr>NPOI</vt:lpwstr>
  </property>
  <property fmtid="{D5CDD505-2E9C-101B-9397-08002B2CF9AE}" pid="5" name="Generator Version">
    <vt:lpwstr>2.2.1</vt:lpwstr>
  </property>
</Properties>
</file>