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 xml:space="preserve">四川银行定开系列3个月7号净值型理财产品 </w:t>
      </w:r>
    </w:p>
    <w:p>
      <w:pPr>
        <w:jc w:val="center"/>
        <w:rPr>
          <w:rFonts w:ascii="宋体" w:hAnsi="宋体"/>
          <w:b/>
          <w:bCs/>
          <w:sz w:val="48"/>
          <w:szCs w:val="30"/>
        </w:rPr>
      </w:pPr>
      <w:r>
        <w:rPr>
          <w:rFonts w:ascii="宋体" w:hAnsi="宋体"/>
          <w:b/>
          <w:bCs/>
          <w:sz w:val="48"/>
          <w:szCs w:val="30"/>
        </w:rPr>
        <w:t>2024年年度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b/>
          <w:bCs/>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自2024-01-01起至2024-12-31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四川银行定开系列3个月7号净值型理财产品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C1438122000022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2022-05-19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450,882,935.00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[2.35%-3.35%]/年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期末杠杆水平</w:t>
            </w:r>
          </w:p>
        </w:tc>
        <w:tc>
          <w:tcPr>
            <w:tcW w:w="502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ascii="宋体" w:hAnsi="宋体"/>
              </w:rPr>
            </w:pPr>
            <w:r>
              <w:rPr>
                <w:rFonts w:hint="eastAsia" w:ascii="宋体" w:hAnsi="宋体"/>
              </w:rPr>
              <w:t>四川银行-四川银行定开系列3个月7号净值型理财产品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ascii="宋体" w:hAnsi="宋体"/>
              </w:rPr>
            </w:pPr>
            <w:r>
              <w:rPr>
                <w:rFonts w:hint="eastAsia" w:ascii="宋体" w:hAnsi="宋体"/>
              </w:rPr>
              <w:t>128912158810832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托管户开户行</w:t>
            </w:r>
          </w:p>
        </w:tc>
        <w:tc>
          <w:tcPr>
            <w:tcW w:w="5027" w:type="dxa"/>
            <w:vAlign w:val="center"/>
          </w:tcPr>
          <w:p>
            <w:pPr>
              <w:jc w:val="left"/>
              <w:rPr>
                <w:rFonts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both"/>
              <w:rPr>
                <w:rFonts w:ascii="宋体" w:hAnsi="宋体"/>
              </w:rPr>
            </w:pPr>
            <w:r>
              <w:rPr>
                <w:rFonts w:hint="eastAsia" w:ascii="宋体" w:hAnsi="宋体"/>
              </w:rPr>
              <w:t>当期（</w:t>
            </w:r>
            <w:r>
              <w:rPr>
                <w:rFonts w:ascii="宋体" w:hAnsi="宋体"/>
              </w:rPr>
              <w:t>2024-01-01</w:t>
            </w:r>
            <w:r>
              <w:rPr>
                <w:rFonts w:hint="eastAsia" w:ascii="宋体" w:hAnsi="宋体"/>
              </w:rPr>
              <w:t>至</w:t>
            </w:r>
            <w:r>
              <w:rPr>
                <w:rFonts w:ascii="宋体" w:hAnsi="宋体"/>
              </w:rPr>
              <w:t>2024-12-31</w:t>
            </w:r>
            <w:r>
              <w:rPr>
                <w:rFonts w:hint="eastAsia" w:ascii="宋体" w:hAnsi="宋体"/>
              </w:rPr>
              <w:t>）</w:t>
            </w:r>
          </w:p>
        </w:tc>
        <w:tc>
          <w:tcPr>
            <w:tcW w:w="5103" w:type="dxa"/>
            <w:vAlign w:val="center"/>
          </w:tcPr>
          <w:p>
            <w:pPr>
              <w:jc w:val="right"/>
              <w:rPr>
                <w:rFonts w:ascii="宋体" w:hAnsi="宋体"/>
              </w:rPr>
            </w:pPr>
            <w:r>
              <w:rPr>
                <w:rFonts w:hint="eastAsia" w:ascii="宋体" w:hAnsi="宋体"/>
              </w:rPr>
              <w:t>2.83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left"/>
              <w:rPr>
                <w:rFonts w:ascii="宋体" w:hAnsi="宋体"/>
              </w:rPr>
            </w:pPr>
            <w:r>
              <w:rPr>
                <w:rFonts w:hint="eastAsia" w:ascii="宋体" w:hAnsi="宋体"/>
              </w:rPr>
              <w:t>自产品成立日至今</w:t>
            </w:r>
          </w:p>
        </w:tc>
        <w:tc>
          <w:tcPr>
            <w:tcW w:w="5103" w:type="dxa"/>
            <w:vAlign w:val="center"/>
          </w:tcPr>
          <w:p>
            <w:pPr>
              <w:jc w:val="right"/>
              <w:rPr>
                <w:rFonts w:hint="default" w:ascii="宋体" w:hAnsi="宋体" w:eastAsia="宋体"/>
                <w:lang w:val="en-US" w:eastAsia="zh-CN"/>
              </w:rPr>
            </w:pPr>
            <w:bookmarkStart w:id="1" w:name="OLE_LINK7"/>
            <w:bookmarkEnd w:id="1"/>
            <w:bookmarkStart w:id="2" w:name="OLE_LINK4"/>
            <w:bookmarkEnd w:id="2"/>
            <w:r>
              <w:rPr>
                <w:rFonts w:hint="eastAsia" w:ascii="宋体" w:hAnsi="宋体"/>
                <w:lang w:val="en-US" w:eastAsia="zh-CN"/>
              </w:rPr>
              <w:t>8.49</w:t>
            </w:r>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ascii="宋体" w:hAnsi="宋体"/>
                <w:b/>
                <w:szCs w:val="21"/>
              </w:rPr>
              <w:t>项目</w:t>
            </w:r>
          </w:p>
        </w:tc>
        <w:tc>
          <w:tcPr>
            <w:tcW w:w="5027" w:type="dxa"/>
            <w:shd w:val="clear" w:color="auto" w:fill="D9D9D9"/>
            <w:vAlign w:val="center"/>
          </w:tcPr>
          <w:p>
            <w:pPr>
              <w:jc w:val="left"/>
              <w:rPr>
                <w:b/>
              </w:rPr>
            </w:pPr>
            <w:r>
              <w:rPr>
                <w:b/>
              </w:rPr>
              <w:t>2024-01-01</w:t>
            </w:r>
            <w:r>
              <w:rPr>
                <w:rFonts w:hint="eastAsia"/>
                <w:b/>
              </w:rPr>
              <w:t xml:space="preserve">至 </w:t>
            </w:r>
            <w:r>
              <w:rPr>
                <w:b/>
              </w:rPr>
              <w:t>2024-12-31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rPr>
                <w:rFonts w:ascii="宋体" w:hAnsi="宋体"/>
              </w:rPr>
            </w:pPr>
            <w:r>
              <w:rPr>
                <w:rFonts w:ascii="宋体" w:hAnsi="宋体"/>
              </w:rPr>
              <w:t>8,132,525.83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rPr>
                <w:rFonts w:ascii="宋体" w:hAnsi="宋体"/>
              </w:rPr>
            </w:pPr>
            <w:r>
              <w:rPr>
                <w:rFonts w:ascii="宋体" w:hAnsi="宋体"/>
              </w:rPr>
              <w:t>8,812,559.16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rPr>
                <w:rFonts w:ascii="宋体" w:hAnsi="宋体"/>
              </w:rPr>
            </w:pPr>
            <w:r>
              <w:rPr>
                <w:rFonts w:ascii="宋体" w:hAnsi="宋体"/>
              </w:rPr>
              <w:t>452,355,502.99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rPr>
                <w:rFonts w:ascii="宋体" w:hAnsi="宋体"/>
              </w:rPr>
            </w:pPr>
            <w:r>
              <w:rPr>
                <w:rFonts w:ascii="宋体" w:hAnsi="宋体"/>
              </w:rPr>
              <w:t>1.0033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both"/>
              <w:rPr>
                <w:rFonts w:hint="eastAsia" w:ascii="宋体" w:hAnsi="宋体" w:eastAsia="宋体" w:cs="Times New Roman"/>
                <w:kern w:val="2"/>
                <w:sz w:val="21"/>
                <w:lang w:val="en-US" w:eastAsia="zh-CN" w:bidi="ar-SA"/>
              </w:rPr>
            </w:pPr>
            <w:r>
              <w:rPr>
                <w:rFonts w:hint="eastAsia" w:ascii="宋体" w:hAnsi="宋体"/>
                <w:lang w:val="en-US" w:eastAsia="zh-CN"/>
              </w:rPr>
              <w:t>期末累计单位净值</w:t>
            </w:r>
          </w:p>
        </w:tc>
        <w:tc>
          <w:tcPr>
            <w:tcW w:w="5027" w:type="dxa"/>
            <w:vAlign w:val="center"/>
          </w:tcPr>
          <w:p>
            <w:pPr>
              <w:jc w:val="right"/>
              <w:rPr>
                <w:rFonts w:hint="default" w:ascii="宋体" w:hAnsi="宋体" w:eastAsia="宋体" w:cs="Times New Roman"/>
                <w:kern w:val="2"/>
                <w:sz w:val="21"/>
                <w:lang w:val="en-US" w:eastAsia="zh-CN" w:bidi="ar-SA"/>
              </w:rPr>
            </w:pPr>
            <w:r>
              <w:rPr>
                <w:rFonts w:hint="eastAsia" w:ascii="宋体" w:hAnsi="宋体"/>
                <w:lang w:val="en-US" w:eastAsia="zh-CN"/>
              </w:rPr>
              <w:t>1.0849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期末最后一个市场交易日资产净值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452,355,502.99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b/>
                <w:bCs/>
                <w:kern w:val="2"/>
                <w:sz w:val="21"/>
                <w:lang w:val="en-US" w:eastAsia="zh-CN" w:bidi="ar-SA"/>
              </w:rPr>
            </w:pPr>
            <w:r>
              <w:rPr>
                <w:rFonts w:hint="eastAsia" w:ascii="宋体" w:hAnsi="宋体"/>
              </w:rPr>
              <w:t>期末最后一个市场交易日</w:t>
            </w:r>
            <w:r>
              <w:rPr>
                <w:rFonts w:hint="eastAsia" w:ascii="宋体" w:hAnsi="宋体"/>
                <w:lang w:val="en-US" w:eastAsia="zh-CN"/>
              </w:rPr>
              <w:t>份额</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w:t>
            </w:r>
            <w:r>
              <w:rPr>
                <w:rFonts w:hint="eastAsia" w:ascii="宋体" w:hAnsi="宋体"/>
                <w:lang w:val="en-US" w:eastAsia="zh-CN"/>
              </w:rPr>
              <w:t>累计单位</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1.0849</w:t>
            </w:r>
          </w:p>
        </w:tc>
      </w:tr>
    </w:tbl>
    <w:p>
      <w:pPr>
        <w:tabs>
          <w:tab w:val="left" w:pos="3135"/>
        </w:tabs>
        <w:ind w:left="420" w:leftChars="200"/>
        <w:rPr>
          <w:rFonts w:ascii="宋体" w:hAnsi="宋体"/>
          <w:sz w:val="24"/>
        </w:rPr>
      </w:pPr>
      <w:r>
        <w:rPr>
          <w:rFonts w:hint="eastAsia" w:ascii="宋体" w:hAnsi="宋体"/>
          <w:sz w:val="24"/>
        </w:rPr>
        <w:t xml:space="preserve"> </w:t>
      </w:r>
    </w:p>
    <w:p>
      <w:pPr>
        <w:pStyle w:val="40"/>
      </w:pPr>
      <w:r>
        <w:rPr>
          <w:rFonts w:hint="eastAsia"/>
        </w:rPr>
        <w:t>投资组合情况</w:t>
      </w:r>
      <w:r>
        <w:rPr>
          <w:rFonts w:hint="eastAsia"/>
          <w:lang w:eastAsia="zh-CN"/>
        </w:rPr>
        <w:t>及</w:t>
      </w:r>
      <w:r>
        <w:rPr>
          <w:lang w:eastAsia="zh-CN"/>
        </w:rP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rPr>
          <w:lang w:val="zh-CN" w:eastAsia="zh-CN"/>
        </w:rPr>
      </w:pPr>
    </w:p>
    <w:p>
      <w:pPr>
        <w:jc w:val="right"/>
      </w:pPr>
    </w:p>
    <w:p>
      <w:pPr>
        <w:jc w:val="right"/>
      </w:pPr>
    </w:p>
    <w:p>
      <w:pPr>
        <w:jc w:val="right"/>
        <w:rPr>
          <w:rFonts w:hint="eastAsia"/>
        </w:rPr>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rPr>
                <w:rFonts w:ascii="宋体" w:hAnsi="宋体"/>
              </w:rPr>
            </w:pPr>
            <w:r>
              <w:rPr>
                <w:rFonts w:hint="eastAsia" w:ascii="宋体" w:hAnsi="宋体"/>
              </w:rPr>
              <w:t>350,207,836.02</w:t>
            </w:r>
          </w:p>
        </w:tc>
        <w:tc>
          <w:tcPr>
            <w:tcW w:w="1749" w:type="dxa"/>
            <w:shd w:val="clear" w:color="auto" w:fill="auto"/>
            <w:vAlign w:val="center"/>
          </w:tcPr>
          <w:p>
            <w:pPr>
              <w:jc w:val="right"/>
              <w:rPr>
                <w:rFonts w:ascii="宋体" w:hAnsi="宋体"/>
              </w:rPr>
            </w:pPr>
            <w:r>
              <w:rPr>
                <w:rFonts w:hint="eastAsia" w:ascii="宋体" w:hAnsi="宋体"/>
              </w:rPr>
              <w:t>76.82</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rPr>
                <w:rFonts w:ascii="宋体" w:hAnsi="宋体"/>
              </w:rPr>
            </w:pPr>
            <w:r>
              <w:rPr>
                <w:rFonts w:hint="eastAsia" w:ascii="宋体" w:hAnsi="宋体"/>
              </w:rPr>
              <w:t>350,207,836.02</w:t>
            </w:r>
          </w:p>
        </w:tc>
        <w:tc>
          <w:tcPr>
            <w:tcW w:w="1749" w:type="dxa"/>
            <w:shd w:val="clear" w:color="auto" w:fill="auto"/>
            <w:vAlign w:val="center"/>
          </w:tcPr>
          <w:p>
            <w:pPr>
              <w:jc w:val="right"/>
              <w:rPr>
                <w:rFonts w:ascii="宋体" w:hAnsi="宋体"/>
              </w:rPr>
            </w:pPr>
            <w:r>
              <w:rPr>
                <w:rFonts w:hint="eastAsia" w:ascii="宋体" w:hAnsi="宋体"/>
              </w:rPr>
              <w:t>76.82</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rPr>
                <w:rFonts w:ascii="宋体" w:hAnsi="宋体"/>
              </w:rPr>
            </w:pPr>
            <w:r>
              <w:rPr>
                <w:rFonts w:hint="eastAsia" w:ascii="宋体" w:hAnsi="宋体"/>
              </w:rPr>
              <w:t>104,994,410.91</w:t>
            </w:r>
          </w:p>
        </w:tc>
        <w:tc>
          <w:tcPr>
            <w:tcW w:w="1749" w:type="dxa"/>
            <w:shd w:val="clear" w:color="auto" w:fill="auto"/>
            <w:vAlign w:val="center"/>
          </w:tcPr>
          <w:p>
            <w:pPr>
              <w:jc w:val="right"/>
              <w:rPr>
                <w:rFonts w:ascii="宋体" w:hAnsi="宋体"/>
              </w:rPr>
            </w:pPr>
            <w:r>
              <w:rPr>
                <w:rFonts w:hint="eastAsia" w:ascii="宋体" w:hAnsi="宋体"/>
              </w:rPr>
              <w:t>23.03</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rPr>
                <w:rFonts w:ascii="宋体" w:hAnsi="宋体"/>
              </w:rPr>
            </w:pPr>
            <w:r>
              <w:rPr>
                <w:rFonts w:hint="eastAsia" w:ascii="宋体" w:hAnsi="宋体"/>
              </w:rPr>
              <w:t>474,127.07</w:t>
            </w:r>
          </w:p>
        </w:tc>
        <w:tc>
          <w:tcPr>
            <w:tcW w:w="1749" w:type="dxa"/>
            <w:shd w:val="clear" w:color="auto" w:fill="auto"/>
            <w:vAlign w:val="center"/>
          </w:tcPr>
          <w:p>
            <w:pPr>
              <w:jc w:val="right"/>
              <w:rPr>
                <w:rFonts w:ascii="宋体" w:hAnsi="宋体"/>
              </w:rPr>
            </w:pPr>
            <w:r>
              <w:rPr>
                <w:rFonts w:hint="eastAsia" w:ascii="宋体" w:hAnsi="宋体"/>
              </w:rPr>
              <w:t>0.10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rPr>
                <w:rFonts w:ascii="宋体" w:hAnsi="宋体"/>
              </w:rPr>
            </w:pPr>
            <w:r>
              <w:rPr>
                <w:rFonts w:hint="eastAsia" w:ascii="宋体" w:hAnsi="宋体"/>
              </w:rPr>
              <w:t>182,109.74</w:t>
            </w:r>
          </w:p>
        </w:tc>
        <w:tc>
          <w:tcPr>
            <w:tcW w:w="1749" w:type="dxa"/>
            <w:shd w:val="clear" w:color="auto" w:fill="auto"/>
            <w:vAlign w:val="center"/>
          </w:tcPr>
          <w:p>
            <w:pPr>
              <w:jc w:val="right"/>
              <w:rPr>
                <w:rFonts w:ascii="宋体" w:hAnsi="宋体"/>
              </w:rPr>
            </w:pPr>
            <w:r>
              <w:rPr>
                <w:rFonts w:hint="eastAsia" w:ascii="宋体" w:hAnsi="宋体"/>
              </w:rPr>
              <w:t>0.04</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vAlign w:val="top"/>
          </w:tcPr>
          <w:p>
            <w:pPr>
              <w:jc w:val="right"/>
              <w:rPr>
                <w:rFonts w:ascii="宋体" w:hAnsi="宋体"/>
              </w:rPr>
            </w:pPr>
            <w:r>
              <w:rPr>
                <w:rFonts w:hint="eastAsia" w:ascii="宋体" w:hAnsi="宋体"/>
              </w:rPr>
              <w:t>455,858,483.74</w:t>
            </w:r>
          </w:p>
        </w:tc>
        <w:tc>
          <w:tcPr>
            <w:tcW w:w="1749" w:type="dxa"/>
            <w:shd w:val="clear" w:color="auto" w:fill="auto"/>
            <w:vAlign w:val="top"/>
          </w:tcPr>
          <w:p>
            <w:pPr>
              <w:jc w:val="right"/>
              <w:rPr>
                <w:rFonts w:ascii="宋体" w:hAnsi="宋体"/>
              </w:rPr>
            </w:pPr>
            <w:r>
              <w:rPr>
                <w:rFonts w:hint="eastAsia" w:ascii="宋体" w:hAnsi="宋体"/>
              </w:rPr>
              <w:t>100.00</w:t>
            </w:r>
          </w:p>
        </w:tc>
        <w:tc>
          <w:tcPr>
            <w:tcW w:w="1653" w:type="dxa"/>
          </w:tcPr>
          <w:p>
            <w:pPr>
              <w:jc w:val="right"/>
              <w:rPr>
                <w:rFonts w:ascii="宋体" w:hAnsi="宋体"/>
              </w:rPr>
            </w:pPr>
            <w:r>
              <w:rPr>
                <w:rFonts w:hint="eastAsia" w:ascii="宋体" w:hAnsi="宋体"/>
              </w:rPr>
              <w:t>0.00</w:t>
            </w:r>
          </w:p>
        </w:tc>
        <w:tc>
          <w:tcPr>
            <w:tcW w:w="1705" w:type="dxa"/>
          </w:tcPr>
          <w:p>
            <w:pPr>
              <w:jc w:val="right"/>
              <w:rPr>
                <w:rFonts w:ascii="宋体" w:hAnsi="宋体"/>
              </w:rPr>
            </w:pPr>
            <w:r>
              <w:rPr>
                <w:rFonts w:hint="eastAsia" w:ascii="宋体" w:hAnsi="宋体"/>
              </w:rPr>
              <w:t>0.00</w:t>
            </w:r>
          </w:p>
        </w:tc>
      </w:tr>
    </w:tbl>
    <w:p>
      <w:pPr>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spacing w:line="360" w:lineRule="auto"/>
        <w:ind w:right="-107" w:rightChars="-51" w:firstLine="480" w:firstLineChars="200"/>
        <w:jc w:val="left"/>
        <w:rPr>
          <w:rFonts w:ascii="宋体" w:hAnsi="宋体"/>
          <w:szCs w:val="21"/>
        </w:rPr>
      </w:pPr>
      <w:r>
        <w:rPr>
          <w:rFonts w:hint="eastAsia" w:ascii="宋体" w:hAnsi="宋体"/>
          <w:sz w:val="24"/>
        </w:rPr>
        <w:t xml:space="preserve">   </w:t>
      </w:r>
      <w:r>
        <w:rPr>
          <w:rFonts w:hint="eastAsia" w:ascii="宋体" w:hAnsi="宋体"/>
          <w:szCs w:val="21"/>
        </w:rPr>
        <w:t>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jc w:val="left"/>
        <w:rPr>
          <w:rFonts w:asciiTheme="minorEastAsia" w:hAnsiTheme="minorEastAsia" w:eastAsiaTheme="minorEastAsia"/>
          <w:sz w:val="24"/>
        </w:rPr>
      </w:pP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w:t>
            </w:r>
          </w:p>
        </w:tc>
        <w:tc>
          <w:tcPr>
            <w:tcW w:w="3159" w:type="dxa"/>
            <w:shd w:val="clear" w:color="auto" w:fill="auto"/>
            <w:vAlign w:val="center"/>
          </w:tcPr>
          <w:p>
            <w:pPr>
              <w:rPr>
                <w:rFonts w:ascii="宋体" w:hAnsi="宋体"/>
                <w:szCs w:val="21"/>
              </w:rPr>
            </w:pPr>
            <w:r>
              <w:rPr>
                <w:rFonts w:ascii="宋体" w:hAnsi="宋体"/>
                <w:szCs w:val="21"/>
              </w:rPr>
              <w:t>GC007</w:t>
            </w:r>
          </w:p>
        </w:tc>
        <w:tc>
          <w:tcPr>
            <w:tcW w:w="2693" w:type="dxa"/>
            <w:shd w:val="clear" w:color="auto" w:fill="auto"/>
            <w:vAlign w:val="center"/>
          </w:tcPr>
          <w:p>
            <w:pPr>
              <w:jc w:val="right"/>
              <w:rPr>
                <w:rFonts w:ascii="宋体" w:hAnsi="宋体"/>
              </w:rPr>
            </w:pPr>
            <w:r>
              <w:rPr>
                <w:rFonts w:ascii="宋体" w:hAnsi="宋体"/>
              </w:rPr>
              <w:t>104,994,410.91</w:t>
            </w:r>
          </w:p>
        </w:tc>
        <w:tc>
          <w:tcPr>
            <w:tcW w:w="2431" w:type="dxa"/>
            <w:shd w:val="clear" w:color="auto" w:fill="auto"/>
            <w:vAlign w:val="center"/>
          </w:tcPr>
          <w:p>
            <w:pPr>
              <w:jc w:val="right"/>
              <w:rPr>
                <w:rFonts w:ascii="宋体" w:hAnsi="宋体"/>
              </w:rPr>
            </w:pPr>
            <w:r>
              <w:rPr>
                <w:rFonts w:ascii="宋体" w:hAnsi="宋体"/>
              </w:rPr>
              <w:t>23.21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2</w:t>
            </w:r>
          </w:p>
        </w:tc>
        <w:tc>
          <w:tcPr>
            <w:tcW w:w="3159" w:type="dxa"/>
            <w:shd w:val="clear" w:color="auto" w:fill="auto"/>
            <w:vAlign w:val="center"/>
          </w:tcPr>
          <w:p>
            <w:pPr>
              <w:rPr>
                <w:rFonts w:ascii="宋体" w:hAnsi="宋体"/>
                <w:szCs w:val="21"/>
              </w:rPr>
            </w:pPr>
            <w:r>
              <w:rPr>
                <w:rFonts w:ascii="宋体" w:hAnsi="宋体"/>
                <w:szCs w:val="21"/>
              </w:rPr>
              <w:t>24成经D2</w:t>
            </w:r>
          </w:p>
        </w:tc>
        <w:tc>
          <w:tcPr>
            <w:tcW w:w="2693" w:type="dxa"/>
            <w:shd w:val="clear" w:color="auto" w:fill="auto"/>
            <w:vAlign w:val="center"/>
          </w:tcPr>
          <w:p>
            <w:pPr>
              <w:jc w:val="right"/>
              <w:rPr>
                <w:rFonts w:ascii="宋体" w:hAnsi="宋体"/>
              </w:rPr>
            </w:pPr>
            <w:r>
              <w:rPr>
                <w:rFonts w:ascii="宋体" w:hAnsi="宋体"/>
              </w:rPr>
              <w:t>32,477,939.72</w:t>
            </w:r>
          </w:p>
        </w:tc>
        <w:tc>
          <w:tcPr>
            <w:tcW w:w="2431" w:type="dxa"/>
            <w:shd w:val="clear" w:color="auto" w:fill="auto"/>
            <w:vAlign w:val="center"/>
          </w:tcPr>
          <w:p>
            <w:pPr>
              <w:jc w:val="right"/>
              <w:rPr>
                <w:rFonts w:ascii="宋体" w:hAnsi="宋体"/>
              </w:rPr>
            </w:pPr>
            <w:r>
              <w:rPr>
                <w:rFonts w:ascii="宋体" w:hAnsi="宋体"/>
              </w:rPr>
              <w:t>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3</w:t>
            </w:r>
          </w:p>
        </w:tc>
        <w:tc>
          <w:tcPr>
            <w:tcW w:w="3159" w:type="dxa"/>
            <w:shd w:val="clear" w:color="auto" w:fill="auto"/>
            <w:vAlign w:val="center"/>
          </w:tcPr>
          <w:p>
            <w:pPr>
              <w:rPr>
                <w:rFonts w:ascii="宋体" w:hAnsi="宋体"/>
                <w:szCs w:val="21"/>
              </w:rPr>
            </w:pPr>
            <w:r>
              <w:rPr>
                <w:rFonts w:ascii="宋体" w:hAnsi="宋体"/>
                <w:szCs w:val="21"/>
              </w:rPr>
              <w:t>24交通银行CD080</w:t>
            </w:r>
          </w:p>
        </w:tc>
        <w:tc>
          <w:tcPr>
            <w:tcW w:w="2693" w:type="dxa"/>
            <w:shd w:val="clear" w:color="auto" w:fill="auto"/>
            <w:vAlign w:val="center"/>
          </w:tcPr>
          <w:p>
            <w:pPr>
              <w:jc w:val="right"/>
              <w:rPr>
                <w:rFonts w:ascii="宋体" w:hAnsi="宋体"/>
              </w:rPr>
            </w:pPr>
            <w:r>
              <w:rPr>
                <w:rFonts w:ascii="宋体" w:hAnsi="宋体"/>
              </w:rPr>
              <w:t>17,956,775.80</w:t>
            </w:r>
          </w:p>
        </w:tc>
        <w:tc>
          <w:tcPr>
            <w:tcW w:w="2431" w:type="dxa"/>
            <w:shd w:val="clear" w:color="auto" w:fill="auto"/>
            <w:vAlign w:val="center"/>
          </w:tcPr>
          <w:p>
            <w:pPr>
              <w:jc w:val="right"/>
              <w:rPr>
                <w:rFonts w:ascii="宋体" w:hAnsi="宋体"/>
              </w:rPr>
            </w:pPr>
            <w:r>
              <w:rPr>
                <w:rFonts w:ascii="宋体" w:hAnsi="宋体"/>
              </w:rPr>
              <w:t>3.97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4</w:t>
            </w:r>
          </w:p>
        </w:tc>
        <w:tc>
          <w:tcPr>
            <w:tcW w:w="3159" w:type="dxa"/>
            <w:shd w:val="clear" w:color="auto" w:fill="auto"/>
            <w:vAlign w:val="center"/>
          </w:tcPr>
          <w:p>
            <w:pPr>
              <w:rPr>
                <w:rFonts w:ascii="宋体" w:hAnsi="宋体"/>
                <w:szCs w:val="21"/>
              </w:rPr>
            </w:pPr>
            <w:r>
              <w:rPr>
                <w:rFonts w:ascii="宋体" w:hAnsi="宋体"/>
                <w:szCs w:val="21"/>
              </w:rPr>
              <w:t>24中原银行CD239</w:t>
            </w:r>
          </w:p>
        </w:tc>
        <w:tc>
          <w:tcPr>
            <w:tcW w:w="2693" w:type="dxa"/>
            <w:shd w:val="clear" w:color="auto" w:fill="auto"/>
            <w:vAlign w:val="center"/>
          </w:tcPr>
          <w:p>
            <w:pPr>
              <w:jc w:val="right"/>
              <w:rPr>
                <w:rFonts w:ascii="宋体" w:hAnsi="宋体"/>
              </w:rPr>
            </w:pPr>
            <w:r>
              <w:rPr>
                <w:rFonts w:ascii="宋体" w:hAnsi="宋体"/>
              </w:rPr>
              <w:t>17,813,066.30</w:t>
            </w:r>
          </w:p>
        </w:tc>
        <w:tc>
          <w:tcPr>
            <w:tcW w:w="2431" w:type="dxa"/>
            <w:shd w:val="clear" w:color="auto" w:fill="auto"/>
            <w:vAlign w:val="center"/>
          </w:tcPr>
          <w:p>
            <w:pPr>
              <w:jc w:val="right"/>
              <w:rPr>
                <w:rFonts w:ascii="宋体" w:hAnsi="宋体"/>
              </w:rPr>
            </w:pPr>
            <w:r>
              <w:rPr>
                <w:rFonts w:ascii="宋体" w:hAnsi="宋体"/>
              </w:rPr>
              <w:t>3.94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5</w:t>
            </w:r>
          </w:p>
        </w:tc>
        <w:tc>
          <w:tcPr>
            <w:tcW w:w="3159" w:type="dxa"/>
            <w:shd w:val="clear" w:color="auto" w:fill="auto"/>
            <w:vAlign w:val="center"/>
          </w:tcPr>
          <w:p>
            <w:pPr>
              <w:rPr>
                <w:rFonts w:ascii="宋体" w:hAnsi="宋体"/>
                <w:szCs w:val="21"/>
              </w:rPr>
            </w:pPr>
            <w:r>
              <w:rPr>
                <w:rFonts w:ascii="宋体" w:hAnsi="宋体"/>
                <w:szCs w:val="21"/>
              </w:rPr>
              <w:t>24乌鲁木齐银行CD147</w:t>
            </w:r>
          </w:p>
        </w:tc>
        <w:tc>
          <w:tcPr>
            <w:tcW w:w="2693" w:type="dxa"/>
            <w:shd w:val="clear" w:color="auto" w:fill="auto"/>
            <w:vAlign w:val="center"/>
          </w:tcPr>
          <w:p>
            <w:pPr>
              <w:jc w:val="right"/>
              <w:rPr>
                <w:rFonts w:ascii="宋体" w:hAnsi="宋体"/>
              </w:rPr>
            </w:pPr>
            <w:r>
              <w:rPr>
                <w:rFonts w:ascii="宋体" w:hAnsi="宋体"/>
              </w:rPr>
              <w:t>17,779,031.61</w:t>
            </w:r>
          </w:p>
        </w:tc>
        <w:tc>
          <w:tcPr>
            <w:tcW w:w="2431" w:type="dxa"/>
            <w:shd w:val="clear" w:color="auto" w:fill="auto"/>
            <w:vAlign w:val="center"/>
          </w:tcPr>
          <w:p>
            <w:pPr>
              <w:jc w:val="right"/>
              <w:rPr>
                <w:rFonts w:ascii="宋体" w:hAnsi="宋体"/>
              </w:rPr>
            </w:pPr>
            <w:r>
              <w:rPr>
                <w:rFonts w:ascii="宋体" w:hAnsi="宋体"/>
              </w:rPr>
              <w:t>3.93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6</w:t>
            </w:r>
          </w:p>
        </w:tc>
        <w:tc>
          <w:tcPr>
            <w:tcW w:w="3159" w:type="dxa"/>
            <w:shd w:val="clear" w:color="auto" w:fill="auto"/>
            <w:vAlign w:val="center"/>
          </w:tcPr>
          <w:p>
            <w:pPr>
              <w:rPr>
                <w:rFonts w:ascii="宋体" w:hAnsi="宋体"/>
                <w:szCs w:val="21"/>
              </w:rPr>
            </w:pPr>
            <w:r>
              <w:rPr>
                <w:rFonts w:ascii="宋体" w:hAnsi="宋体"/>
                <w:szCs w:val="21"/>
              </w:rPr>
              <w:t>24恒丰银行CD195</w:t>
            </w:r>
          </w:p>
        </w:tc>
        <w:tc>
          <w:tcPr>
            <w:tcW w:w="2693" w:type="dxa"/>
            <w:shd w:val="clear" w:color="auto" w:fill="auto"/>
            <w:vAlign w:val="center"/>
          </w:tcPr>
          <w:p>
            <w:pPr>
              <w:jc w:val="right"/>
              <w:rPr>
                <w:rFonts w:ascii="宋体" w:hAnsi="宋体"/>
              </w:rPr>
            </w:pPr>
            <w:r>
              <w:rPr>
                <w:rFonts w:ascii="宋体" w:hAnsi="宋体"/>
              </w:rPr>
              <w:t>14,967,588.26</w:t>
            </w:r>
          </w:p>
        </w:tc>
        <w:tc>
          <w:tcPr>
            <w:tcW w:w="2431" w:type="dxa"/>
            <w:shd w:val="clear" w:color="auto" w:fill="auto"/>
            <w:vAlign w:val="center"/>
          </w:tcPr>
          <w:p>
            <w:pPr>
              <w:jc w:val="right"/>
              <w:rPr>
                <w:rFonts w:ascii="宋体" w:hAnsi="宋体"/>
              </w:rPr>
            </w:pPr>
            <w:r>
              <w:rPr>
                <w:rFonts w:ascii="宋体" w:hAnsi="宋体"/>
              </w:rPr>
              <w:t>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7</w:t>
            </w:r>
          </w:p>
        </w:tc>
        <w:tc>
          <w:tcPr>
            <w:tcW w:w="3159" w:type="dxa"/>
            <w:shd w:val="clear" w:color="auto" w:fill="auto"/>
            <w:vAlign w:val="center"/>
          </w:tcPr>
          <w:p>
            <w:pPr>
              <w:rPr>
                <w:rFonts w:ascii="宋体" w:hAnsi="宋体"/>
                <w:szCs w:val="21"/>
              </w:rPr>
            </w:pPr>
            <w:r>
              <w:rPr>
                <w:rFonts w:ascii="宋体" w:hAnsi="宋体"/>
                <w:szCs w:val="21"/>
              </w:rPr>
              <w:t>24晋商银行CD054</w:t>
            </w:r>
          </w:p>
        </w:tc>
        <w:tc>
          <w:tcPr>
            <w:tcW w:w="2693" w:type="dxa"/>
            <w:shd w:val="clear" w:color="auto" w:fill="auto"/>
            <w:vAlign w:val="center"/>
          </w:tcPr>
          <w:p>
            <w:pPr>
              <w:jc w:val="right"/>
              <w:rPr>
                <w:rFonts w:ascii="宋体" w:hAnsi="宋体"/>
              </w:rPr>
            </w:pPr>
            <w:r>
              <w:rPr>
                <w:rFonts w:ascii="宋体" w:hAnsi="宋体"/>
              </w:rPr>
              <w:t>14,966,593.10</w:t>
            </w:r>
          </w:p>
        </w:tc>
        <w:tc>
          <w:tcPr>
            <w:tcW w:w="2431" w:type="dxa"/>
            <w:shd w:val="clear" w:color="auto" w:fill="auto"/>
            <w:vAlign w:val="center"/>
          </w:tcPr>
          <w:p>
            <w:pPr>
              <w:jc w:val="right"/>
              <w:rPr>
                <w:rFonts w:ascii="宋体" w:hAnsi="宋体"/>
              </w:rPr>
            </w:pPr>
            <w:r>
              <w:rPr>
                <w:rFonts w:ascii="宋体" w:hAnsi="宋体"/>
              </w:rPr>
              <w:t>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8</w:t>
            </w:r>
          </w:p>
        </w:tc>
        <w:tc>
          <w:tcPr>
            <w:tcW w:w="3159" w:type="dxa"/>
            <w:shd w:val="clear" w:color="auto" w:fill="auto"/>
            <w:vAlign w:val="center"/>
          </w:tcPr>
          <w:p>
            <w:pPr>
              <w:rPr>
                <w:rFonts w:ascii="宋体" w:hAnsi="宋体"/>
                <w:szCs w:val="21"/>
              </w:rPr>
            </w:pPr>
            <w:r>
              <w:rPr>
                <w:rFonts w:ascii="宋体" w:hAnsi="宋体"/>
                <w:szCs w:val="21"/>
              </w:rPr>
              <w:t>24广西北部湾银行CD206</w:t>
            </w:r>
          </w:p>
        </w:tc>
        <w:tc>
          <w:tcPr>
            <w:tcW w:w="2693" w:type="dxa"/>
            <w:shd w:val="clear" w:color="auto" w:fill="auto"/>
            <w:vAlign w:val="center"/>
          </w:tcPr>
          <w:p>
            <w:pPr>
              <w:jc w:val="right"/>
              <w:rPr>
                <w:rFonts w:ascii="宋体" w:hAnsi="宋体"/>
              </w:rPr>
            </w:pPr>
            <w:r>
              <w:rPr>
                <w:rFonts w:ascii="宋体" w:hAnsi="宋体"/>
              </w:rPr>
              <w:t>14,896,675.77</w:t>
            </w:r>
          </w:p>
        </w:tc>
        <w:tc>
          <w:tcPr>
            <w:tcW w:w="2431" w:type="dxa"/>
            <w:shd w:val="clear" w:color="auto" w:fill="auto"/>
            <w:vAlign w:val="center"/>
          </w:tcPr>
          <w:p>
            <w:pPr>
              <w:jc w:val="right"/>
              <w:rPr>
                <w:rFonts w:ascii="宋体" w:hAnsi="宋体"/>
              </w:rPr>
            </w:pPr>
            <w:r>
              <w:rPr>
                <w:rFonts w:ascii="宋体" w:hAnsi="宋体"/>
              </w:rPr>
              <w:t>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9</w:t>
            </w:r>
          </w:p>
        </w:tc>
        <w:tc>
          <w:tcPr>
            <w:tcW w:w="3159" w:type="dxa"/>
            <w:shd w:val="clear" w:color="auto" w:fill="auto"/>
            <w:vAlign w:val="center"/>
          </w:tcPr>
          <w:p>
            <w:pPr>
              <w:rPr>
                <w:rFonts w:ascii="宋体" w:hAnsi="宋体"/>
                <w:szCs w:val="21"/>
              </w:rPr>
            </w:pPr>
            <w:r>
              <w:rPr>
                <w:rFonts w:ascii="宋体" w:hAnsi="宋体"/>
                <w:szCs w:val="21"/>
              </w:rPr>
              <w:t>24乌鲁木齐银行CD137</w:t>
            </w:r>
          </w:p>
        </w:tc>
        <w:tc>
          <w:tcPr>
            <w:tcW w:w="2693" w:type="dxa"/>
            <w:shd w:val="clear" w:color="auto" w:fill="auto"/>
            <w:vAlign w:val="center"/>
          </w:tcPr>
          <w:p>
            <w:pPr>
              <w:jc w:val="right"/>
              <w:rPr>
                <w:rFonts w:ascii="宋体" w:hAnsi="宋体"/>
              </w:rPr>
            </w:pPr>
            <w:r>
              <w:rPr>
                <w:rFonts w:ascii="宋体" w:hAnsi="宋体"/>
              </w:rPr>
              <w:t>14,830,796.05</w:t>
            </w:r>
          </w:p>
        </w:tc>
        <w:tc>
          <w:tcPr>
            <w:tcW w:w="2431" w:type="dxa"/>
            <w:shd w:val="clear" w:color="auto" w:fill="auto"/>
            <w:vAlign w:val="center"/>
          </w:tcPr>
          <w:p>
            <w:pPr>
              <w:jc w:val="right"/>
              <w:rPr>
                <w:rFonts w:ascii="宋体" w:hAnsi="宋体"/>
              </w:rPr>
            </w:pPr>
            <w:r>
              <w:rPr>
                <w:rFonts w:ascii="宋体" w:hAnsi="宋体"/>
              </w:rPr>
              <w:t>3.28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10</w:t>
            </w:r>
          </w:p>
        </w:tc>
        <w:tc>
          <w:tcPr>
            <w:tcW w:w="3159" w:type="dxa"/>
            <w:shd w:val="clear" w:color="auto" w:fill="auto"/>
            <w:vAlign w:val="center"/>
          </w:tcPr>
          <w:p>
            <w:pPr>
              <w:rPr>
                <w:rFonts w:ascii="宋体" w:hAnsi="宋体"/>
                <w:szCs w:val="21"/>
              </w:rPr>
            </w:pPr>
            <w:r>
              <w:rPr>
                <w:rFonts w:ascii="宋体" w:hAnsi="宋体"/>
                <w:szCs w:val="21"/>
              </w:rPr>
              <w:t>24稠州商行CD026</w:t>
            </w:r>
          </w:p>
        </w:tc>
        <w:tc>
          <w:tcPr>
            <w:tcW w:w="2693" w:type="dxa"/>
            <w:shd w:val="clear" w:color="auto" w:fill="auto"/>
            <w:vAlign w:val="center"/>
          </w:tcPr>
          <w:p>
            <w:pPr>
              <w:jc w:val="right"/>
              <w:rPr>
                <w:rFonts w:ascii="宋体" w:hAnsi="宋体"/>
              </w:rPr>
            </w:pPr>
            <w:r>
              <w:rPr>
                <w:rFonts w:ascii="宋体" w:hAnsi="宋体"/>
              </w:rPr>
              <w:t>14,815,906.03</w:t>
            </w:r>
          </w:p>
        </w:tc>
        <w:tc>
          <w:tcPr>
            <w:tcW w:w="2431" w:type="dxa"/>
            <w:shd w:val="clear" w:color="auto" w:fill="auto"/>
            <w:vAlign w:val="center"/>
          </w:tcPr>
          <w:p>
            <w:pPr>
              <w:jc w:val="right"/>
              <w:rPr>
                <w:rFonts w:ascii="宋体" w:hAnsi="宋体"/>
              </w:rPr>
            </w:pPr>
            <w:bookmarkStart w:id="3" w:name="OLE_LINK5"/>
            <w:bookmarkStart w:id="4" w:name="OLE_LINK6"/>
            <w:r>
              <w:rPr>
                <w:rFonts w:ascii="宋体" w:hAnsi="宋体"/>
              </w:rPr>
              <w:t>3.28</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注：前十项资产明细仅包含证券投资、场外投资，不包含银行存款、存出保证金、清算备付金等资产。</w:t>
      </w:r>
    </w:p>
    <w:p>
      <w:pPr>
        <w:pStyle w:val="40"/>
        <w:rPr>
          <w:highlight w:val="none"/>
        </w:rPr>
      </w:pPr>
      <w:r>
        <w:rPr>
          <w:highlight w:val="none"/>
        </w:rPr>
        <w:t>托管人报告</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1</w:t>
      </w:r>
      <w:r>
        <w:rPr>
          <w:rFonts w:hint="eastAsia" w:ascii="宋体" w:hAnsi="宋体"/>
          <w:szCs w:val="21"/>
          <w:highlight w:val="none"/>
        </w:rPr>
        <w:t>）托管资产保管</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托管资产独立于</w:t>
      </w:r>
      <w:r>
        <w:rPr>
          <w:rFonts w:hint="eastAsia" w:ascii="宋体" w:hAnsi="宋体"/>
          <w:szCs w:val="21"/>
          <w:highlight w:val="none"/>
          <w:lang w:val="en-US" w:eastAsia="zh-CN"/>
        </w:rPr>
        <w:t>招商银行</w:t>
      </w:r>
      <w:r>
        <w:rPr>
          <w:rFonts w:hint="eastAsia" w:ascii="宋体" w:hAnsi="宋体"/>
          <w:szCs w:val="21"/>
          <w:highlight w:val="none"/>
        </w:rPr>
        <w:t>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2</w:t>
      </w:r>
      <w:r>
        <w:rPr>
          <w:rFonts w:hint="eastAsia" w:ascii="宋体" w:hAnsi="宋体"/>
          <w:szCs w:val="21"/>
          <w:highlight w:val="none"/>
        </w:rPr>
        <w:t>）会计核算和估值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我行按照与四川银行股份有限公司在托管协议中约定的统一记账方法和会计处理原则，独立地设置、登录和保管本产品的全套账册，进行会计核算和资产估值。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3</w:t>
      </w:r>
      <w:r>
        <w:rPr>
          <w:rFonts w:hint="eastAsia" w:ascii="宋体" w:hAnsi="宋体"/>
          <w:szCs w:val="21"/>
          <w:highlight w:val="none"/>
        </w:rPr>
        <w:t>）定期核对有关数据</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我行根据托管协议约定与四川银行股份有限公司定期进行账务核对。</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4</w:t>
      </w:r>
      <w:r>
        <w:rPr>
          <w:rFonts w:hint="eastAsia" w:ascii="宋体" w:hAnsi="宋体"/>
          <w:szCs w:val="21"/>
          <w:highlight w:val="none"/>
        </w:rPr>
        <w:t>）投资监督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lang w:val="en-US" w:eastAsia="zh-CN"/>
        </w:rPr>
        <w:t>招商银行</w:t>
      </w:r>
      <w:r>
        <w:rPr>
          <w:rFonts w:hint="eastAsia" w:ascii="宋体" w:hAnsi="宋体"/>
          <w:szCs w:val="21"/>
          <w:highlight w:val="none"/>
        </w:rPr>
        <w:t>根据法规、托管协议以及双方约定的投资监督条款，对投资运作情况进行监督。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rPr>
        <w:t>托管人声明：</w:t>
      </w:r>
      <w:r>
        <w:rPr>
          <w:rFonts w:hint="eastAsia" w:ascii="宋体" w:hAnsi="宋体"/>
          <w:szCs w:val="21"/>
          <w:highlight w:val="none"/>
          <w:lang w:val="en-US" w:eastAsia="zh-CN"/>
        </w:rPr>
        <w:t>招商银行</w:t>
      </w:r>
      <w:r>
        <w:rPr>
          <w:rFonts w:hint="eastAsia" w:ascii="宋体" w:hAnsi="宋体"/>
          <w:szCs w:val="21"/>
          <w:highlight w:val="none"/>
        </w:rPr>
        <w:t>具备完善的公司治理结构、内部稽核监控制度和风险控制制度，我行在</w:t>
      </w:r>
    </w:p>
    <w:p>
      <w:pPr>
        <w:spacing w:line="360" w:lineRule="auto"/>
        <w:ind w:right="-107" w:rightChars="-51"/>
        <w:jc w:val="left"/>
        <w:rPr>
          <w:rFonts w:ascii="宋体" w:hAnsi="宋体"/>
          <w:szCs w:val="21"/>
          <w:highlight w:val="none"/>
        </w:rPr>
      </w:pPr>
      <w:r>
        <w:rPr>
          <w:rFonts w:hint="eastAsia" w:ascii="宋体" w:hAnsi="宋体"/>
          <w:szCs w:val="21"/>
          <w:highlight w:val="none"/>
        </w:rPr>
        <w:t>四川银行定开系列3个月7号净值型理财产品托管的过程中，严格遵守有关法律法规、托管协议的规定，尽职尽责地履行托管义务并安全保管托管资产。</w:t>
      </w:r>
    </w:p>
    <w:p>
      <w:pPr>
        <w:pStyle w:val="40"/>
        <w:rPr>
          <w:highlight w:val="none"/>
        </w:rPr>
      </w:pPr>
      <w:r>
        <w:rPr>
          <w:rFonts w:hint="eastAsia"/>
          <w:highlight w:val="none"/>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w:t>
      </w:r>
      <w:r>
        <w:rPr>
          <w:rFonts w:ascii="宋体" w:hAnsi="宋体"/>
          <w:szCs w:val="21"/>
        </w:rPr>
        <w:t>22凉山发展MTN001</w:t>
      </w:r>
      <w:r>
        <w:rPr>
          <w:rFonts w:hint="eastAsia" w:asciiTheme="minorEastAsia" w:hAnsiTheme="minorEastAsia" w:eastAsiaTheme="minorEastAsia"/>
          <w:szCs w:val="21"/>
        </w:rPr>
        <w:t>属于关联交易。</w:t>
      </w:r>
    </w:p>
    <w:p>
      <w:pPr>
        <w:jc w:val="left"/>
        <w:rPr>
          <w:rFonts w:asciiTheme="minorEastAsia" w:hAnsiTheme="minorEastAsia" w:eastAsiaTheme="minorEastAsia"/>
          <w:szCs w:val="21"/>
        </w:rPr>
      </w:pPr>
      <w:bookmarkStart w:id="5" w:name="_GoBack"/>
      <w:bookmarkEnd w:id="5"/>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2025-03-31</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54BC"/>
    <w:rsid w:val="000957D7"/>
    <w:rsid w:val="00096252"/>
    <w:rsid w:val="000A0247"/>
    <w:rsid w:val="000A1C35"/>
    <w:rsid w:val="000B049B"/>
    <w:rsid w:val="000B12F7"/>
    <w:rsid w:val="000B65EC"/>
    <w:rsid w:val="000C0357"/>
    <w:rsid w:val="000C5B47"/>
    <w:rsid w:val="000D078C"/>
    <w:rsid w:val="000D4CEA"/>
    <w:rsid w:val="000D5DDE"/>
    <w:rsid w:val="000E103E"/>
    <w:rsid w:val="000E2280"/>
    <w:rsid w:val="000E5BF4"/>
    <w:rsid w:val="000E7303"/>
    <w:rsid w:val="000E7594"/>
    <w:rsid w:val="000E7EE4"/>
    <w:rsid w:val="000F1CA3"/>
    <w:rsid w:val="000F1EB8"/>
    <w:rsid w:val="000F79B4"/>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9201F"/>
    <w:rsid w:val="00196688"/>
    <w:rsid w:val="001A6A60"/>
    <w:rsid w:val="001A6DCE"/>
    <w:rsid w:val="001B0D81"/>
    <w:rsid w:val="001B2258"/>
    <w:rsid w:val="001B3575"/>
    <w:rsid w:val="001B43F0"/>
    <w:rsid w:val="001C4ACD"/>
    <w:rsid w:val="001C5999"/>
    <w:rsid w:val="001D364E"/>
    <w:rsid w:val="001E1A37"/>
    <w:rsid w:val="001E27AF"/>
    <w:rsid w:val="001E2A08"/>
    <w:rsid w:val="001E4B7A"/>
    <w:rsid w:val="001E7354"/>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70"/>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15C27"/>
    <w:rsid w:val="004169FD"/>
    <w:rsid w:val="00420876"/>
    <w:rsid w:val="0042283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4F71"/>
    <w:rsid w:val="00527A49"/>
    <w:rsid w:val="005310A6"/>
    <w:rsid w:val="0053595B"/>
    <w:rsid w:val="00537901"/>
    <w:rsid w:val="00540DE6"/>
    <w:rsid w:val="00542A91"/>
    <w:rsid w:val="0054387B"/>
    <w:rsid w:val="005465B6"/>
    <w:rsid w:val="00554065"/>
    <w:rsid w:val="00555D8D"/>
    <w:rsid w:val="00560EAF"/>
    <w:rsid w:val="00572059"/>
    <w:rsid w:val="00573E83"/>
    <w:rsid w:val="005775FA"/>
    <w:rsid w:val="00583550"/>
    <w:rsid w:val="00591622"/>
    <w:rsid w:val="005947ED"/>
    <w:rsid w:val="00596277"/>
    <w:rsid w:val="005B6C71"/>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307A"/>
    <w:rsid w:val="006B0B91"/>
    <w:rsid w:val="006B24E7"/>
    <w:rsid w:val="006B554E"/>
    <w:rsid w:val="006B5B87"/>
    <w:rsid w:val="006C21A8"/>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710F9C"/>
    <w:rsid w:val="00711860"/>
    <w:rsid w:val="00714D1B"/>
    <w:rsid w:val="00717029"/>
    <w:rsid w:val="00720312"/>
    <w:rsid w:val="0072202C"/>
    <w:rsid w:val="0072288E"/>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C00B5"/>
    <w:rsid w:val="007C271F"/>
    <w:rsid w:val="007D4695"/>
    <w:rsid w:val="007D5F69"/>
    <w:rsid w:val="007D7D2D"/>
    <w:rsid w:val="007E24A8"/>
    <w:rsid w:val="007E6BBB"/>
    <w:rsid w:val="007F261A"/>
    <w:rsid w:val="007F4389"/>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509BD"/>
    <w:rsid w:val="008518FE"/>
    <w:rsid w:val="008631C4"/>
    <w:rsid w:val="00863246"/>
    <w:rsid w:val="008647E2"/>
    <w:rsid w:val="00865A3B"/>
    <w:rsid w:val="00867C1C"/>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B01D6A"/>
    <w:rsid w:val="00B0308C"/>
    <w:rsid w:val="00B10E2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2E9E"/>
    <w:rsid w:val="00BF5021"/>
    <w:rsid w:val="00BF6960"/>
    <w:rsid w:val="00C00573"/>
    <w:rsid w:val="00C01D6D"/>
    <w:rsid w:val="00C0394B"/>
    <w:rsid w:val="00C101D8"/>
    <w:rsid w:val="00C15724"/>
    <w:rsid w:val="00C16678"/>
    <w:rsid w:val="00C21599"/>
    <w:rsid w:val="00C244B2"/>
    <w:rsid w:val="00C30868"/>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5096"/>
    <w:rsid w:val="00D2614B"/>
    <w:rsid w:val="00D3035E"/>
    <w:rsid w:val="00D30B4B"/>
    <w:rsid w:val="00D31FD3"/>
    <w:rsid w:val="00D3496C"/>
    <w:rsid w:val="00D3643E"/>
    <w:rsid w:val="00D40841"/>
    <w:rsid w:val="00D411DB"/>
    <w:rsid w:val="00D452EA"/>
    <w:rsid w:val="00D57ABE"/>
    <w:rsid w:val="00D60D0A"/>
    <w:rsid w:val="00D63034"/>
    <w:rsid w:val="00D664DF"/>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4D29"/>
    <w:rsid w:val="00F35C2C"/>
    <w:rsid w:val="00F36C13"/>
    <w:rsid w:val="00F44F0C"/>
    <w:rsid w:val="00F45974"/>
    <w:rsid w:val="00F45EFD"/>
    <w:rsid w:val="00F51B8A"/>
    <w:rsid w:val="00F53A4B"/>
    <w:rsid w:val="00F64D16"/>
    <w:rsid w:val="00F65B50"/>
    <w:rsid w:val="00F66D00"/>
    <w:rsid w:val="00F67B3D"/>
    <w:rsid w:val="00F733D2"/>
    <w:rsid w:val="00F87CF1"/>
    <w:rsid w:val="00F906DF"/>
    <w:rsid w:val="00F934DE"/>
    <w:rsid w:val="00F941F7"/>
    <w:rsid w:val="00F95832"/>
    <w:rsid w:val="00F9693E"/>
    <w:rsid w:val="00F973AF"/>
    <w:rsid w:val="00F9745A"/>
    <w:rsid w:val="00FA5CE9"/>
    <w:rsid w:val="00FA6695"/>
    <w:rsid w:val="00FA794C"/>
    <w:rsid w:val="00FB1C77"/>
    <w:rsid w:val="00FB3F6A"/>
    <w:rsid w:val="00FD2905"/>
    <w:rsid w:val="00FE1CEA"/>
    <w:rsid w:val="00FE3C8E"/>
    <w:rsid w:val="00FE3E86"/>
    <w:rsid w:val="00FE4490"/>
    <w:rsid w:val="00FE51F2"/>
    <w:rsid w:val="00FE52AD"/>
    <w:rsid w:val="00FE5547"/>
    <w:rsid w:val="00FF15E9"/>
    <w:rsid w:val="00FF6973"/>
    <w:rsid w:val="022F150A"/>
    <w:rsid w:val="04034F27"/>
    <w:rsid w:val="134C76E8"/>
    <w:rsid w:val="18FE62CD"/>
    <w:rsid w:val="22F80CAF"/>
    <w:rsid w:val="23AB2840"/>
    <w:rsid w:val="2FC23DC4"/>
    <w:rsid w:val="31506EA7"/>
    <w:rsid w:val="339E2F39"/>
    <w:rsid w:val="38A16717"/>
    <w:rsid w:val="46A87316"/>
    <w:rsid w:val="512D246A"/>
    <w:rsid w:val="54B27197"/>
    <w:rsid w:val="5A9E6B68"/>
    <w:rsid w:val="769122E5"/>
    <w:rsid w:val="789A33D8"/>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33ED8-1EE1-4735-B60D-886198643719}">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292</Words>
  <Characters>1665</Characters>
  <Lines>13</Lines>
  <Paragraphs>3</Paragraphs>
  <TotalTime>0</TotalTime>
  <ScaleCrop>false</ScaleCrop>
  <LinksUpToDate>false</LinksUpToDate>
  <CharactersWithSpaces>1954</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Administrator</cp:lastModifiedBy>
  <cp:lastPrinted>2411-12-31T16:00:00Z</cp:lastPrinted>
  <dcterms:modified xsi:type="dcterms:W3CDTF">2025-02-07T09:47:36Z</dcterms:modified>
  <dc:title>gongGaoMingCheng</dc:title>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ED34D9402E1A4C98B96527F311C55F7A</vt:lpwstr>
  </property>
  <property fmtid="{D5CDD505-2E9C-101B-9397-08002B2CF9AE}" pid="4" name="Generator">
    <vt:lpwstr>NPOI</vt:lpwstr>
  </property>
  <property fmtid="{D5CDD505-2E9C-101B-9397-08002B2CF9AE}" pid="5" name="Generator Version">
    <vt:lpwstr>2.2.1</vt:lpwstr>
  </property>
</Properties>
</file>