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四川银行定开系列6个月13号净值型理财产品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383,744,000.00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9.97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6,770,209.36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5,931,526.57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386,721,887.43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386,721,887.43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1.0997</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287,278,197.83</w:t>
            </w:r>
          </w:p>
        </w:tc>
        <w:tc>
          <w:tcPr>
            <w:tcW w:w="1749" w:type="dxa"/>
            <w:shd w:val="clear" w:color="auto" w:fill="auto"/>
            <w:vAlign w:val="center"/>
          </w:tcPr>
          <w:p>
            <w:pPr>
              <w:jc w:val="right"/>
              <w:rPr>
                <w:rFonts w:ascii="宋体" w:hAnsi="宋体"/>
              </w:rPr>
            </w:pPr>
            <w:r>
              <w:rPr>
                <w:rFonts w:hint="eastAsia" w:ascii="宋体" w:hAnsi="宋体"/>
              </w:rPr>
              <w:t>73.86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287,278,197.83</w:t>
            </w:r>
          </w:p>
        </w:tc>
        <w:tc>
          <w:tcPr>
            <w:tcW w:w="1749" w:type="dxa"/>
            <w:shd w:val="clear" w:color="auto" w:fill="auto"/>
            <w:vAlign w:val="center"/>
          </w:tcPr>
          <w:p>
            <w:pPr>
              <w:jc w:val="right"/>
              <w:rPr>
                <w:rFonts w:ascii="宋体" w:hAnsi="宋体"/>
              </w:rPr>
            </w:pPr>
            <w:r>
              <w:rPr>
                <w:rFonts w:hint="eastAsia" w:ascii="宋体" w:hAnsi="宋体"/>
              </w:rPr>
              <w:t>73.86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96,011,685.92</w:t>
            </w:r>
          </w:p>
        </w:tc>
        <w:tc>
          <w:tcPr>
            <w:tcW w:w="1749" w:type="dxa"/>
            <w:shd w:val="clear" w:color="auto" w:fill="auto"/>
            <w:vAlign w:val="center"/>
          </w:tcPr>
          <w:p>
            <w:pPr>
              <w:jc w:val="right"/>
              <w:rPr>
                <w:rFonts w:ascii="宋体" w:hAnsi="宋体"/>
              </w:rPr>
            </w:pPr>
            <w:r>
              <w:rPr>
                <w:rFonts w:hint="eastAsia" w:ascii="宋体" w:hAnsi="宋体"/>
              </w:rPr>
              <w:t>24.69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150,697.97</w:t>
            </w:r>
          </w:p>
        </w:tc>
        <w:tc>
          <w:tcPr>
            <w:tcW w:w="1749" w:type="dxa"/>
            <w:shd w:val="clear" w:color="auto" w:fill="auto"/>
            <w:vAlign w:val="center"/>
          </w:tcPr>
          <w:p>
            <w:pPr>
              <w:jc w:val="right"/>
              <w:rPr>
                <w:rFonts w:ascii="宋体" w:hAnsi="宋体"/>
              </w:rPr>
            </w:pPr>
            <w:r>
              <w:rPr>
                <w:rFonts w:hint="eastAsia" w:ascii="宋体" w:hAnsi="宋体"/>
              </w:rPr>
              <w:t>0.04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5,502,521.93</w:t>
            </w:r>
          </w:p>
        </w:tc>
        <w:tc>
          <w:tcPr>
            <w:tcW w:w="1749" w:type="dxa"/>
            <w:shd w:val="clear" w:color="auto" w:fill="auto"/>
            <w:vAlign w:val="center"/>
          </w:tcPr>
          <w:p>
            <w:pPr>
              <w:jc w:val="right"/>
              <w:rPr>
                <w:rFonts w:ascii="宋体" w:hAnsi="宋体"/>
              </w:rPr>
            </w:pPr>
            <w:r>
              <w:rPr>
                <w:rFonts w:hint="eastAsia" w:ascii="宋体" w:hAnsi="宋体"/>
              </w:rPr>
              <w:t>1.41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388,943,103.65</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96,011,685.92</w:t>
            </w:r>
          </w:p>
        </w:tc>
        <w:tc>
          <w:tcPr>
            <w:tcW w:w="2431" w:type="dxa"/>
            <w:shd w:val="clear" w:color="auto" w:fill="auto"/>
            <w:vAlign w:val="center"/>
          </w:tcPr>
          <w:p>
            <w:pPr>
              <w:jc w:val="right"/>
              <w:rPr>
                <w:rFonts w:ascii="宋体" w:hAnsi="宋体"/>
              </w:rPr>
            </w:pPr>
            <w:r>
              <w:rPr>
                <w:rFonts w:ascii="宋体" w:hAnsi="宋体"/>
              </w:rPr>
              <w:t>24.83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23达州02</w:t>
            </w:r>
          </w:p>
        </w:tc>
        <w:tc>
          <w:tcPr>
            <w:tcW w:w="2693" w:type="dxa"/>
            <w:shd w:val="clear" w:color="auto" w:fill="auto"/>
            <w:vAlign w:val="center"/>
          </w:tcPr>
          <w:p>
            <w:pPr>
              <w:jc w:val="right"/>
              <w:rPr>
                <w:rFonts w:ascii="宋体" w:hAnsi="宋体"/>
              </w:rPr>
            </w:pPr>
            <w:r>
              <w:rPr>
                <w:rFonts w:ascii="宋体" w:hAnsi="宋体"/>
              </w:rPr>
              <w:t>26,972,773.97</w:t>
            </w:r>
          </w:p>
        </w:tc>
        <w:tc>
          <w:tcPr>
            <w:tcW w:w="2431" w:type="dxa"/>
            <w:shd w:val="clear" w:color="auto" w:fill="auto"/>
            <w:vAlign w:val="center"/>
          </w:tcPr>
          <w:p>
            <w:pPr>
              <w:jc w:val="right"/>
              <w:rPr>
                <w:rFonts w:ascii="宋体" w:hAnsi="宋体"/>
              </w:rPr>
            </w:pPr>
            <w:r>
              <w:rPr>
                <w:rFonts w:ascii="宋体" w:hAnsi="宋体"/>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20,298,712.33</w:t>
            </w:r>
          </w:p>
        </w:tc>
        <w:tc>
          <w:tcPr>
            <w:tcW w:w="2431" w:type="dxa"/>
            <w:shd w:val="clear" w:color="auto" w:fill="auto"/>
            <w:vAlign w:val="center"/>
          </w:tcPr>
          <w:p>
            <w:pPr>
              <w:jc w:val="right"/>
              <w:rPr>
                <w:rFonts w:ascii="宋体" w:hAnsi="宋体"/>
              </w:rPr>
            </w:pPr>
            <w:r>
              <w:rPr>
                <w:rFonts w:ascii="宋体" w:hAnsi="宋体"/>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22眉资01</w:t>
            </w:r>
          </w:p>
        </w:tc>
        <w:tc>
          <w:tcPr>
            <w:tcW w:w="2693" w:type="dxa"/>
            <w:shd w:val="clear" w:color="auto" w:fill="auto"/>
            <w:vAlign w:val="center"/>
          </w:tcPr>
          <w:p>
            <w:pPr>
              <w:jc w:val="right"/>
              <w:rPr>
                <w:rFonts w:ascii="宋体" w:hAnsi="宋体"/>
              </w:rPr>
            </w:pPr>
            <w:r>
              <w:rPr>
                <w:rFonts w:ascii="宋体" w:hAnsi="宋体"/>
              </w:rPr>
              <w:t>19,963,846.57</w:t>
            </w:r>
          </w:p>
        </w:tc>
        <w:tc>
          <w:tcPr>
            <w:tcW w:w="2431" w:type="dxa"/>
            <w:shd w:val="clear" w:color="auto" w:fill="auto"/>
            <w:vAlign w:val="center"/>
          </w:tcPr>
          <w:p>
            <w:pPr>
              <w:jc w:val="right"/>
              <w:rPr>
                <w:rFonts w:ascii="宋体" w:hAnsi="宋体"/>
              </w:rPr>
            </w:pPr>
            <w:r>
              <w:rPr>
                <w:rFonts w:ascii="宋体" w:hAnsi="宋体"/>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24贵州银行CD039</w:t>
            </w:r>
          </w:p>
        </w:tc>
        <w:tc>
          <w:tcPr>
            <w:tcW w:w="2693" w:type="dxa"/>
            <w:shd w:val="clear" w:color="auto" w:fill="auto"/>
            <w:vAlign w:val="center"/>
          </w:tcPr>
          <w:p>
            <w:pPr>
              <w:jc w:val="right"/>
              <w:rPr>
                <w:rFonts w:ascii="宋体" w:hAnsi="宋体"/>
              </w:rPr>
            </w:pPr>
            <w:r>
              <w:rPr>
                <w:rFonts w:ascii="宋体" w:hAnsi="宋体"/>
              </w:rPr>
              <w:t>19,920,794.63</w:t>
            </w:r>
          </w:p>
        </w:tc>
        <w:tc>
          <w:tcPr>
            <w:tcW w:w="2431" w:type="dxa"/>
            <w:shd w:val="clear" w:color="auto" w:fill="auto"/>
            <w:vAlign w:val="center"/>
          </w:tcPr>
          <w:p>
            <w:pPr>
              <w:jc w:val="right"/>
              <w:rPr>
                <w:rFonts w:ascii="宋体" w:hAnsi="宋体"/>
              </w:rPr>
            </w:pPr>
            <w:r>
              <w:rPr>
                <w:rFonts w:ascii="宋体" w:hAnsi="宋体"/>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24日照银行CD120</w:t>
            </w:r>
          </w:p>
        </w:tc>
        <w:tc>
          <w:tcPr>
            <w:tcW w:w="2693" w:type="dxa"/>
            <w:shd w:val="clear" w:color="auto" w:fill="auto"/>
            <w:vAlign w:val="center"/>
          </w:tcPr>
          <w:p>
            <w:pPr>
              <w:jc w:val="right"/>
              <w:rPr>
                <w:rFonts w:ascii="宋体" w:hAnsi="宋体"/>
              </w:rPr>
            </w:pPr>
            <w:r>
              <w:rPr>
                <w:rFonts w:ascii="宋体" w:hAnsi="宋体"/>
              </w:rPr>
              <w:t>19,734,701.37</w:t>
            </w:r>
          </w:p>
        </w:tc>
        <w:tc>
          <w:tcPr>
            <w:tcW w:w="2431" w:type="dxa"/>
            <w:shd w:val="clear" w:color="auto" w:fill="auto"/>
            <w:vAlign w:val="center"/>
          </w:tcPr>
          <w:p>
            <w:pPr>
              <w:jc w:val="right"/>
              <w:rPr>
                <w:rFonts w:ascii="宋体" w:hAnsi="宋体"/>
              </w:rPr>
            </w:pPr>
            <w:r>
              <w:rPr>
                <w:rFonts w:ascii="宋体" w:hAnsi="宋体"/>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24日照银行CD122</w:t>
            </w:r>
          </w:p>
        </w:tc>
        <w:tc>
          <w:tcPr>
            <w:tcW w:w="2693" w:type="dxa"/>
            <w:shd w:val="clear" w:color="auto" w:fill="auto"/>
            <w:vAlign w:val="center"/>
          </w:tcPr>
          <w:p>
            <w:pPr>
              <w:jc w:val="right"/>
              <w:rPr>
                <w:rFonts w:ascii="宋体" w:hAnsi="宋体"/>
              </w:rPr>
            </w:pPr>
            <w:r>
              <w:rPr>
                <w:rFonts w:ascii="宋体" w:hAnsi="宋体"/>
              </w:rPr>
              <w:t>19,732,447.34</w:t>
            </w:r>
          </w:p>
        </w:tc>
        <w:tc>
          <w:tcPr>
            <w:tcW w:w="2431" w:type="dxa"/>
            <w:shd w:val="clear" w:color="auto" w:fill="auto"/>
            <w:vAlign w:val="center"/>
          </w:tcPr>
          <w:p>
            <w:pPr>
              <w:jc w:val="right"/>
              <w:rPr>
                <w:rFonts w:ascii="宋体" w:hAnsi="宋体"/>
              </w:rPr>
            </w:pPr>
            <w:r>
              <w:rPr>
                <w:rFonts w:ascii="宋体" w:hAnsi="宋体"/>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22凉山发展MTN001</w:t>
            </w:r>
          </w:p>
        </w:tc>
        <w:tc>
          <w:tcPr>
            <w:tcW w:w="2693" w:type="dxa"/>
            <w:shd w:val="clear" w:color="auto" w:fill="auto"/>
            <w:vAlign w:val="center"/>
          </w:tcPr>
          <w:p>
            <w:pPr>
              <w:jc w:val="right"/>
              <w:rPr>
                <w:rFonts w:ascii="宋体" w:hAnsi="宋体"/>
              </w:rPr>
            </w:pPr>
            <w:r>
              <w:rPr>
                <w:rFonts w:ascii="宋体" w:hAnsi="宋体"/>
              </w:rPr>
              <w:t>14,827,150.68</w:t>
            </w:r>
          </w:p>
        </w:tc>
        <w:tc>
          <w:tcPr>
            <w:tcW w:w="2431" w:type="dxa"/>
            <w:shd w:val="clear" w:color="auto" w:fill="auto"/>
            <w:vAlign w:val="center"/>
          </w:tcPr>
          <w:p>
            <w:pPr>
              <w:jc w:val="right"/>
              <w:rPr>
                <w:rFonts w:ascii="宋体" w:hAnsi="宋体"/>
              </w:rPr>
            </w:pPr>
            <w:r>
              <w:rPr>
                <w:rFonts w:ascii="宋体" w:hAnsi="宋体"/>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24泸临01</w:t>
            </w:r>
          </w:p>
        </w:tc>
        <w:tc>
          <w:tcPr>
            <w:tcW w:w="2693" w:type="dxa"/>
            <w:shd w:val="clear" w:color="auto" w:fill="auto"/>
            <w:vAlign w:val="center"/>
          </w:tcPr>
          <w:p>
            <w:pPr>
              <w:jc w:val="right"/>
              <w:rPr>
                <w:rFonts w:ascii="宋体" w:hAnsi="宋体"/>
              </w:rPr>
            </w:pPr>
            <w:r>
              <w:rPr>
                <w:rFonts w:ascii="宋体" w:hAnsi="宋体"/>
              </w:rPr>
              <w:t>14,654,272.60</w:t>
            </w:r>
          </w:p>
        </w:tc>
        <w:tc>
          <w:tcPr>
            <w:tcW w:w="2431" w:type="dxa"/>
            <w:shd w:val="clear" w:color="auto" w:fill="auto"/>
            <w:vAlign w:val="center"/>
          </w:tcPr>
          <w:p>
            <w:pPr>
              <w:jc w:val="right"/>
              <w:rPr>
                <w:rFonts w:ascii="宋体" w:hAnsi="宋体"/>
              </w:rPr>
            </w:pPr>
            <w:r>
              <w:rPr>
                <w:rFonts w:ascii="宋体" w:hAnsi="宋体"/>
              </w:rPr>
              <w:t>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21攀国投</w:t>
            </w:r>
          </w:p>
        </w:tc>
        <w:tc>
          <w:tcPr>
            <w:tcW w:w="2693" w:type="dxa"/>
            <w:shd w:val="clear" w:color="auto" w:fill="auto"/>
            <w:vAlign w:val="center"/>
          </w:tcPr>
          <w:p>
            <w:pPr>
              <w:jc w:val="right"/>
              <w:rPr>
                <w:rFonts w:ascii="宋体" w:hAnsi="宋体"/>
              </w:rPr>
            </w:pPr>
            <w:r>
              <w:rPr>
                <w:rFonts w:ascii="宋体" w:hAnsi="宋体"/>
              </w:rPr>
              <w:t>14,153,565.03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3.66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w:t>
      </w:r>
      <w:r>
        <w:rPr>
          <w:rFonts w:hint="eastAsia" w:ascii="宋体" w:hAnsi="宋体"/>
          <w:szCs w:val="21"/>
          <w:highlight w:val="none"/>
          <w:lang w:val="en-US" w:eastAsia="zh-CN"/>
        </w:rPr>
        <w:t>在</w:t>
      </w:r>
      <w:r>
        <w:rPr>
          <w:rFonts w:hint="eastAsia" w:ascii="宋体" w:hAnsi="宋体"/>
          <w:szCs w:val="21"/>
          <w:highlight w:val="none"/>
        </w:rPr>
        <w:t>四川银行定开系列6个月13号净值型理财产品托管的过程中，严格遵守有关法律法规、托管协议的规定，尽职尽责地履行托管义务并安全保管托管资产。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宋体" w:hAnsi="宋体"/>
          <w:szCs w:val="21"/>
          <w:lang w:eastAsia="zh-CN"/>
        </w:rPr>
        <w:t>、</w:t>
      </w:r>
      <w:r>
        <w:rPr>
          <w:rFonts w:ascii="宋体" w:hAnsi="宋体"/>
          <w:szCs w:val="21"/>
        </w:rPr>
        <w:t>21攀国投</w:t>
      </w:r>
      <w:r>
        <w:rPr>
          <w:rFonts w:hint="eastAsia" w:asciiTheme="minorEastAsia" w:hAnsiTheme="minorEastAsia" w:eastAsiaTheme="minorEastAsia"/>
          <w:szCs w:val="21"/>
        </w:rPr>
        <w:t>属于关联交易。</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1F7519F0"/>
    <w:rsid w:val="22F80CAF"/>
    <w:rsid w:val="23AB2840"/>
    <w:rsid w:val="28ED5B22"/>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2025-02-07T10:49:02Z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