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 xml:space="preserve">四川银行定开系列6个月16号净值型理财产品 </w:t>
      </w:r>
    </w:p>
    <w:p>
      <w:pPr>
        <w:jc w:val="center"/>
        <w:rPr>
          <w:rFonts w:ascii="宋体" w:hAnsi="宋体"/>
          <w:b/>
          <w:bCs/>
          <w:sz w:val="48"/>
          <w:szCs w:val="30"/>
        </w:rPr>
      </w:pPr>
      <w:r>
        <w:rPr>
          <w:rFonts w:ascii="宋体" w:hAnsi="宋体"/>
          <w:b/>
          <w:bCs/>
          <w:sz w:val="48"/>
          <w:szCs w:val="30"/>
        </w:rPr>
        <w:t>2024年年度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b/>
          <w:bCs/>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四川银行定开系列6个月16号净值型理财产品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C1438121000186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218,022,332.00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[2.6%-3.7%]/年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期末杠杆水平</w:t>
            </w:r>
          </w:p>
        </w:tc>
        <w:tc>
          <w:tcPr>
            <w:tcW w:w="502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四川银行-四川银行定开系列6个月16号净值型理财产品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ascii="宋体" w:hAnsi="宋体"/>
              </w:rPr>
            </w:pPr>
            <w:r>
              <w:rPr>
                <w:rFonts w:hint="eastAsia" w:ascii="宋体" w:hAnsi="宋体"/>
              </w:rPr>
              <w:t>128912158810218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托管户开户行</w:t>
            </w:r>
          </w:p>
        </w:tc>
        <w:tc>
          <w:tcPr>
            <w:tcW w:w="5027" w:type="dxa"/>
            <w:vAlign w:val="center"/>
          </w:tcPr>
          <w:p>
            <w:pPr>
              <w:jc w:val="left"/>
              <w:rPr>
                <w:rFonts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both"/>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rPr>
                <w:rFonts w:ascii="宋体" w:hAnsi="宋体"/>
              </w:rPr>
            </w:pPr>
            <w:r>
              <w:rPr>
                <w:rFonts w:hint="eastAsia" w:ascii="宋体" w:hAnsi="宋体"/>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left"/>
              <w:rPr>
                <w:rFonts w:ascii="宋体" w:hAnsi="宋体"/>
              </w:rPr>
            </w:pPr>
            <w:r>
              <w:rPr>
                <w:rFonts w:hint="eastAsia" w:ascii="宋体" w:hAnsi="宋体"/>
              </w:rPr>
              <w:t>自产品成立日至今</w:t>
            </w:r>
          </w:p>
        </w:tc>
        <w:tc>
          <w:tcPr>
            <w:tcW w:w="5103" w:type="dxa"/>
            <w:vAlign w:val="center"/>
          </w:tcPr>
          <w:p>
            <w:pPr>
              <w:jc w:val="right"/>
              <w:rPr>
                <w:rFonts w:ascii="宋体" w:hAnsi="宋体"/>
              </w:rPr>
            </w:pPr>
            <w:r>
              <w:rPr>
                <w:rFonts w:hint="eastAsia" w:ascii="宋体" w:hAnsi="宋体"/>
              </w:rPr>
              <w:t>9.86</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ascii="宋体" w:hAnsi="宋体"/>
                <w:b/>
                <w:szCs w:val="21"/>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rPr>
                <w:rFonts w:ascii="宋体" w:hAnsi="宋体"/>
              </w:rPr>
            </w:pPr>
            <w:r>
              <w:rPr>
                <w:rFonts w:ascii="宋体" w:hAnsi="宋体"/>
              </w:rPr>
              <w:t>4,418,588.87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rPr>
                <w:rFonts w:ascii="宋体" w:hAnsi="宋体"/>
              </w:rPr>
            </w:pPr>
            <w:r>
              <w:rPr>
                <w:rFonts w:ascii="宋体" w:hAnsi="宋体"/>
              </w:rPr>
              <w:t>5,016,634.73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rPr>
                <w:rFonts w:ascii="宋体" w:hAnsi="宋体"/>
              </w:rPr>
            </w:pPr>
            <w:r>
              <w:rPr>
                <w:rFonts w:ascii="宋体" w:hAnsi="宋体"/>
              </w:rPr>
              <w:t>219,275,180.80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rPr>
                <w:rFonts w:ascii="宋体" w:hAnsi="宋体"/>
              </w:rPr>
            </w:pPr>
            <w:r>
              <w:rPr>
                <w:rFonts w:ascii="宋体" w:hAnsi="宋体"/>
              </w:rPr>
              <w:t>1.0057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both"/>
              <w:rPr>
                <w:rFonts w:hint="eastAsia" w:ascii="宋体" w:hAnsi="宋体" w:eastAsia="宋体" w:cs="Times New Roman"/>
                <w:kern w:val="2"/>
                <w:sz w:val="21"/>
                <w:lang w:val="en-US" w:eastAsia="zh-CN" w:bidi="ar-SA"/>
              </w:rPr>
            </w:pPr>
            <w:r>
              <w:rPr>
                <w:rFonts w:hint="eastAsia" w:ascii="宋体" w:hAnsi="宋体"/>
                <w:lang w:val="en-US" w:eastAsia="zh-CN"/>
              </w:rPr>
              <w:t>期末累计单位净值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1.0986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期末最后一个市场交易日资产净值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219,275,180.80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b/>
                <w:bCs/>
                <w:kern w:val="2"/>
                <w:sz w:val="21"/>
                <w:lang w:val="en-US" w:eastAsia="zh-CN" w:bidi="ar-SA"/>
              </w:rPr>
            </w:pPr>
            <w:r>
              <w:rPr>
                <w:rFonts w:hint="eastAsia" w:ascii="宋体" w:hAnsi="宋体"/>
              </w:rPr>
              <w:t>期末最后一个市场交易日</w:t>
            </w:r>
            <w:r>
              <w:rPr>
                <w:rFonts w:hint="eastAsia" w:ascii="宋体" w:hAnsi="宋体"/>
                <w:lang w:val="en-US" w:eastAsia="zh-CN"/>
              </w:rPr>
              <w:t>份额</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w:t>
            </w:r>
            <w:r>
              <w:rPr>
                <w:rFonts w:hint="eastAsia" w:ascii="宋体" w:hAnsi="宋体"/>
                <w:lang w:val="en-US" w:eastAsia="zh-CN"/>
              </w:rPr>
              <w:t>累计单位</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1.0986</w:t>
            </w:r>
          </w:p>
        </w:tc>
      </w:tr>
    </w:tbl>
    <w:p>
      <w:pPr>
        <w:tabs>
          <w:tab w:val="left" w:pos="3135"/>
        </w:tabs>
        <w:ind w:left="420" w:leftChars="200"/>
        <w:rPr>
          <w:rFonts w:ascii="宋体" w:hAnsi="宋体"/>
          <w:sz w:val="24"/>
        </w:rPr>
      </w:pPr>
      <w:r>
        <w:rPr>
          <w:rFonts w:hint="eastAsia" w:ascii="宋体" w:hAnsi="宋体"/>
          <w:sz w:val="24"/>
        </w:rPr>
        <w:t xml:space="preserve"> </w:t>
      </w:r>
    </w:p>
    <w:p>
      <w:pPr>
        <w:pStyle w:val="40"/>
      </w:pPr>
      <w:r>
        <w:rPr>
          <w:rFonts w:hint="eastAsia"/>
        </w:rPr>
        <w:t>投资组合情况</w:t>
      </w:r>
      <w:r>
        <w:rPr>
          <w:rFonts w:hint="eastAsia"/>
          <w:lang w:eastAsia="zh-CN"/>
        </w:rPr>
        <w:t>及</w:t>
      </w:r>
      <w:r>
        <w:rPr>
          <w:lang w:eastAsia="zh-CN"/>
        </w:rP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rPr>
          <w:lang w:val="zh-CN" w:eastAsia="zh-CN"/>
        </w:rPr>
      </w:pPr>
    </w:p>
    <w:p>
      <w:pPr>
        <w:jc w:val="right"/>
      </w:pPr>
    </w:p>
    <w:p>
      <w:pPr>
        <w:jc w:val="right"/>
      </w:pPr>
    </w:p>
    <w:p>
      <w:pPr>
        <w:jc w:val="right"/>
        <w:rPr>
          <w:rFonts w:hint="eastAsia"/>
        </w:rPr>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rPr>
                <w:rFonts w:ascii="宋体" w:hAnsi="宋体"/>
              </w:rPr>
            </w:pPr>
            <w:r>
              <w:rPr>
                <w:rFonts w:hint="eastAsia" w:ascii="宋体" w:hAnsi="宋体"/>
              </w:rPr>
              <w:t>157,295,004.21</w:t>
            </w:r>
          </w:p>
        </w:tc>
        <w:tc>
          <w:tcPr>
            <w:tcW w:w="1749" w:type="dxa"/>
            <w:shd w:val="clear" w:color="auto" w:fill="auto"/>
            <w:vAlign w:val="center"/>
          </w:tcPr>
          <w:p>
            <w:pPr>
              <w:jc w:val="right"/>
              <w:rPr>
                <w:rFonts w:ascii="宋体" w:hAnsi="宋体"/>
              </w:rPr>
            </w:pPr>
            <w:r>
              <w:rPr>
                <w:rFonts w:hint="eastAsia" w:ascii="宋体" w:hAnsi="宋体"/>
              </w:rPr>
              <w:t>71.08</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rPr>
                <w:rFonts w:ascii="宋体" w:hAnsi="宋体"/>
              </w:rPr>
            </w:pPr>
            <w:r>
              <w:rPr>
                <w:rFonts w:hint="eastAsia" w:ascii="宋体" w:hAnsi="宋体"/>
              </w:rPr>
              <w:t>157,295,004.21</w:t>
            </w:r>
          </w:p>
        </w:tc>
        <w:tc>
          <w:tcPr>
            <w:tcW w:w="1749" w:type="dxa"/>
            <w:shd w:val="clear" w:color="auto" w:fill="auto"/>
            <w:vAlign w:val="center"/>
          </w:tcPr>
          <w:p>
            <w:pPr>
              <w:jc w:val="right"/>
              <w:rPr>
                <w:rFonts w:ascii="宋体" w:hAnsi="宋体"/>
              </w:rPr>
            </w:pPr>
            <w:r>
              <w:rPr>
                <w:rFonts w:hint="eastAsia" w:ascii="宋体" w:hAnsi="宋体"/>
              </w:rPr>
              <w:t>71.08</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rPr>
                <w:rFonts w:ascii="宋体" w:hAnsi="宋体"/>
              </w:rPr>
            </w:pPr>
            <w:r>
              <w:rPr>
                <w:rFonts w:hint="eastAsia" w:ascii="宋体" w:hAnsi="宋体"/>
              </w:rPr>
              <w:t>63,007,668.88</w:t>
            </w:r>
          </w:p>
        </w:tc>
        <w:tc>
          <w:tcPr>
            <w:tcW w:w="1749" w:type="dxa"/>
            <w:shd w:val="clear" w:color="auto" w:fill="auto"/>
            <w:vAlign w:val="center"/>
          </w:tcPr>
          <w:p>
            <w:pPr>
              <w:jc w:val="right"/>
              <w:rPr>
                <w:rFonts w:ascii="宋体" w:hAnsi="宋体"/>
              </w:rPr>
            </w:pPr>
            <w:r>
              <w:rPr>
                <w:rFonts w:hint="eastAsia" w:ascii="宋体" w:hAnsi="宋体"/>
              </w:rPr>
              <w:t>28.47</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rPr>
                <w:rFonts w:ascii="宋体" w:hAnsi="宋体"/>
              </w:rPr>
            </w:pPr>
            <w:r>
              <w:rPr>
                <w:rFonts w:hint="eastAsia" w:ascii="宋体" w:hAnsi="宋体"/>
              </w:rPr>
              <w:t>820,038.20</w:t>
            </w:r>
          </w:p>
        </w:tc>
        <w:tc>
          <w:tcPr>
            <w:tcW w:w="1749" w:type="dxa"/>
            <w:shd w:val="clear" w:color="auto" w:fill="auto"/>
            <w:vAlign w:val="center"/>
          </w:tcPr>
          <w:p>
            <w:pPr>
              <w:jc w:val="right"/>
              <w:rPr>
                <w:rFonts w:ascii="宋体" w:hAnsi="宋体"/>
              </w:rPr>
            </w:pPr>
            <w:r>
              <w:rPr>
                <w:rFonts w:hint="eastAsia" w:ascii="宋体" w:hAnsi="宋体"/>
              </w:rPr>
              <w:t>0.37</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rPr>
                <w:rFonts w:ascii="宋体" w:hAnsi="宋体"/>
              </w:rPr>
            </w:pPr>
            <w:r>
              <w:rPr>
                <w:rFonts w:hint="eastAsia" w:ascii="宋体" w:hAnsi="宋体"/>
              </w:rPr>
              <w:t>178,057.27</w:t>
            </w:r>
          </w:p>
        </w:tc>
        <w:tc>
          <w:tcPr>
            <w:tcW w:w="1749" w:type="dxa"/>
            <w:shd w:val="clear" w:color="auto" w:fill="auto"/>
            <w:vAlign w:val="center"/>
          </w:tcPr>
          <w:p>
            <w:pPr>
              <w:jc w:val="right"/>
              <w:rPr>
                <w:rFonts w:ascii="宋体" w:hAnsi="宋体"/>
              </w:rPr>
            </w:pPr>
            <w:r>
              <w:rPr>
                <w:rFonts w:hint="eastAsia" w:ascii="宋体" w:hAnsi="宋体"/>
              </w:rPr>
              <w:t>0.08</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vAlign w:val="top"/>
          </w:tcPr>
          <w:p>
            <w:pPr>
              <w:jc w:val="right"/>
              <w:rPr>
                <w:rFonts w:ascii="宋体" w:hAnsi="宋体"/>
              </w:rPr>
            </w:pPr>
            <w:r>
              <w:rPr>
                <w:rFonts w:hint="eastAsia" w:ascii="宋体" w:hAnsi="宋体"/>
              </w:rPr>
              <w:t>221,300,768.56</w:t>
            </w:r>
          </w:p>
        </w:tc>
        <w:tc>
          <w:tcPr>
            <w:tcW w:w="1749" w:type="dxa"/>
            <w:shd w:val="clear" w:color="auto" w:fill="auto"/>
            <w:vAlign w:val="top"/>
          </w:tcPr>
          <w:p>
            <w:pPr>
              <w:jc w:val="right"/>
              <w:rPr>
                <w:rFonts w:ascii="宋体" w:hAnsi="宋体"/>
              </w:rPr>
            </w:pPr>
            <w:r>
              <w:rPr>
                <w:rFonts w:hint="eastAsia" w:ascii="宋体" w:hAnsi="宋体"/>
              </w:rPr>
              <w:t>100.00</w:t>
            </w:r>
          </w:p>
        </w:tc>
        <w:tc>
          <w:tcPr>
            <w:tcW w:w="1653" w:type="dxa"/>
          </w:tcPr>
          <w:p>
            <w:pPr>
              <w:jc w:val="right"/>
              <w:rPr>
                <w:rFonts w:ascii="宋体" w:hAnsi="宋体"/>
              </w:rPr>
            </w:pPr>
            <w:r>
              <w:rPr>
                <w:rFonts w:hint="eastAsia" w:ascii="宋体" w:hAnsi="宋体"/>
              </w:rPr>
              <w:t>0.00</w:t>
            </w:r>
          </w:p>
        </w:tc>
        <w:tc>
          <w:tcPr>
            <w:tcW w:w="1705" w:type="dxa"/>
          </w:tcPr>
          <w:p>
            <w:pPr>
              <w:jc w:val="right"/>
              <w:rPr>
                <w:rFonts w:ascii="宋体" w:hAnsi="宋体"/>
              </w:rPr>
            </w:pPr>
            <w:r>
              <w:rPr>
                <w:rFonts w:hint="eastAsia" w:ascii="宋体" w:hAnsi="宋体"/>
              </w:rPr>
              <w:t>0.00</w:t>
            </w:r>
          </w:p>
        </w:tc>
      </w:tr>
    </w:tbl>
    <w:p>
      <w:pPr>
        <w:jc w:val="right"/>
        <w:rPr>
          <w:rFonts w:hint="eastAsia"/>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right="-107" w:rightChars="-51" w:firstLine="480" w:firstLineChars="200"/>
        <w:jc w:val="left"/>
        <w:rPr>
          <w:rFonts w:ascii="宋体" w:hAnsi="宋体"/>
          <w:szCs w:val="21"/>
        </w:rPr>
      </w:pPr>
      <w:r>
        <w:rPr>
          <w:rFonts w:hint="eastAsia" w:ascii="宋体" w:hAnsi="宋体"/>
          <w:sz w:val="24"/>
        </w:rPr>
        <w:t xml:space="preserve">   </w:t>
      </w:r>
      <w:r>
        <w:rPr>
          <w:rFonts w:hint="eastAsia" w:ascii="宋体" w:hAnsi="宋体"/>
          <w:szCs w:val="21"/>
        </w:rPr>
        <w:t>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w:t>
            </w:r>
          </w:p>
        </w:tc>
        <w:tc>
          <w:tcPr>
            <w:tcW w:w="3159" w:type="dxa"/>
            <w:shd w:val="clear" w:color="auto" w:fill="auto"/>
            <w:vAlign w:val="center"/>
          </w:tcPr>
          <w:p>
            <w:pPr>
              <w:rPr>
                <w:rFonts w:ascii="宋体" w:hAnsi="宋体"/>
                <w:szCs w:val="21"/>
              </w:rPr>
            </w:pPr>
            <w:r>
              <w:rPr>
                <w:rFonts w:ascii="宋体" w:hAnsi="宋体"/>
                <w:szCs w:val="21"/>
              </w:rPr>
              <w:t>GC007</w:t>
            </w:r>
          </w:p>
        </w:tc>
        <w:tc>
          <w:tcPr>
            <w:tcW w:w="2693" w:type="dxa"/>
            <w:shd w:val="clear" w:color="auto" w:fill="auto"/>
            <w:vAlign w:val="center"/>
          </w:tcPr>
          <w:p>
            <w:pPr>
              <w:jc w:val="right"/>
              <w:rPr>
                <w:rFonts w:ascii="宋体" w:hAnsi="宋体"/>
              </w:rPr>
            </w:pPr>
            <w:r>
              <w:rPr>
                <w:rFonts w:ascii="宋体" w:hAnsi="宋体"/>
              </w:rPr>
              <w:t>63,007,668.88</w:t>
            </w:r>
          </w:p>
        </w:tc>
        <w:tc>
          <w:tcPr>
            <w:tcW w:w="2431" w:type="dxa"/>
            <w:shd w:val="clear" w:color="auto" w:fill="auto"/>
            <w:vAlign w:val="center"/>
          </w:tcPr>
          <w:p>
            <w:pPr>
              <w:jc w:val="right"/>
              <w:rPr>
                <w:rFonts w:ascii="宋体" w:hAnsi="宋体"/>
              </w:rPr>
            </w:pPr>
            <w:r>
              <w:rPr>
                <w:rFonts w:ascii="宋体" w:hAnsi="宋体"/>
              </w:rPr>
              <w:t>28.73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2</w:t>
            </w:r>
          </w:p>
        </w:tc>
        <w:tc>
          <w:tcPr>
            <w:tcW w:w="3159" w:type="dxa"/>
            <w:shd w:val="clear" w:color="auto" w:fill="auto"/>
            <w:vAlign w:val="center"/>
          </w:tcPr>
          <w:p>
            <w:pPr>
              <w:rPr>
                <w:rFonts w:ascii="宋体" w:hAnsi="宋体"/>
                <w:szCs w:val="21"/>
              </w:rPr>
            </w:pPr>
            <w:r>
              <w:rPr>
                <w:rFonts w:ascii="宋体" w:hAnsi="宋体"/>
                <w:szCs w:val="21"/>
              </w:rPr>
              <w:t>23达州02</w:t>
            </w:r>
          </w:p>
        </w:tc>
        <w:tc>
          <w:tcPr>
            <w:tcW w:w="2693" w:type="dxa"/>
            <w:shd w:val="clear" w:color="auto" w:fill="auto"/>
            <w:vAlign w:val="center"/>
          </w:tcPr>
          <w:p>
            <w:pPr>
              <w:jc w:val="right"/>
              <w:rPr>
                <w:rFonts w:ascii="宋体" w:hAnsi="宋体"/>
              </w:rPr>
            </w:pPr>
            <w:r>
              <w:rPr>
                <w:rFonts w:ascii="宋体" w:hAnsi="宋体"/>
              </w:rPr>
              <w:t>16,183,664.38</w:t>
            </w:r>
          </w:p>
        </w:tc>
        <w:tc>
          <w:tcPr>
            <w:tcW w:w="2431" w:type="dxa"/>
            <w:shd w:val="clear" w:color="auto" w:fill="auto"/>
            <w:vAlign w:val="center"/>
          </w:tcPr>
          <w:p>
            <w:pPr>
              <w:jc w:val="right"/>
              <w:rPr>
                <w:rFonts w:ascii="宋体" w:hAnsi="宋体"/>
              </w:rPr>
            </w:pPr>
            <w:r>
              <w:rPr>
                <w:rFonts w:ascii="宋体" w:hAnsi="宋体"/>
              </w:rPr>
              <w:t>7.38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3</w:t>
            </w:r>
          </w:p>
        </w:tc>
        <w:tc>
          <w:tcPr>
            <w:tcW w:w="3159" w:type="dxa"/>
            <w:shd w:val="clear" w:color="auto" w:fill="auto"/>
            <w:vAlign w:val="center"/>
          </w:tcPr>
          <w:p>
            <w:pPr>
              <w:rPr>
                <w:rFonts w:ascii="宋体" w:hAnsi="宋体"/>
                <w:szCs w:val="21"/>
              </w:rPr>
            </w:pPr>
            <w:r>
              <w:rPr>
                <w:rFonts w:ascii="宋体" w:hAnsi="宋体"/>
                <w:szCs w:val="21"/>
              </w:rPr>
              <w:t>24达州03</w:t>
            </w:r>
          </w:p>
        </w:tc>
        <w:tc>
          <w:tcPr>
            <w:tcW w:w="2693" w:type="dxa"/>
            <w:shd w:val="clear" w:color="auto" w:fill="auto"/>
            <w:vAlign w:val="center"/>
          </w:tcPr>
          <w:p>
            <w:pPr>
              <w:jc w:val="right"/>
              <w:rPr>
                <w:rFonts w:ascii="宋体" w:hAnsi="宋体"/>
              </w:rPr>
            </w:pPr>
            <w:r>
              <w:rPr>
                <w:rFonts w:ascii="宋体" w:hAnsi="宋体"/>
              </w:rPr>
              <w:t>15,342,287.67</w:t>
            </w:r>
          </w:p>
        </w:tc>
        <w:tc>
          <w:tcPr>
            <w:tcW w:w="2431" w:type="dxa"/>
            <w:shd w:val="clear" w:color="auto" w:fill="auto"/>
            <w:vAlign w:val="center"/>
          </w:tcPr>
          <w:p>
            <w:pPr>
              <w:jc w:val="right"/>
              <w:rPr>
                <w:rFonts w:ascii="宋体" w:hAnsi="宋体"/>
              </w:rPr>
            </w:pPr>
            <w:r>
              <w:rPr>
                <w:rFonts w:ascii="宋体" w:hAnsi="宋体"/>
              </w:rPr>
              <w:t>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4</w:t>
            </w:r>
          </w:p>
        </w:tc>
        <w:tc>
          <w:tcPr>
            <w:tcW w:w="3159" w:type="dxa"/>
            <w:shd w:val="clear" w:color="auto" w:fill="auto"/>
            <w:vAlign w:val="center"/>
          </w:tcPr>
          <w:p>
            <w:pPr>
              <w:rPr>
                <w:rFonts w:ascii="宋体" w:hAnsi="宋体"/>
                <w:szCs w:val="21"/>
              </w:rPr>
            </w:pPr>
            <w:r>
              <w:rPr>
                <w:rFonts w:ascii="宋体" w:hAnsi="宋体"/>
                <w:szCs w:val="21"/>
              </w:rPr>
              <w:t>24成经D2</w:t>
            </w:r>
          </w:p>
        </w:tc>
        <w:tc>
          <w:tcPr>
            <w:tcW w:w="2693" w:type="dxa"/>
            <w:shd w:val="clear" w:color="auto" w:fill="auto"/>
            <w:vAlign w:val="center"/>
          </w:tcPr>
          <w:p>
            <w:pPr>
              <w:jc w:val="right"/>
              <w:rPr>
                <w:rFonts w:ascii="宋体" w:hAnsi="宋体"/>
              </w:rPr>
            </w:pPr>
            <w:r>
              <w:rPr>
                <w:rFonts w:ascii="宋体" w:hAnsi="宋体"/>
              </w:rPr>
              <w:t>15,224,034.25</w:t>
            </w:r>
          </w:p>
        </w:tc>
        <w:tc>
          <w:tcPr>
            <w:tcW w:w="2431" w:type="dxa"/>
            <w:shd w:val="clear" w:color="auto" w:fill="auto"/>
            <w:vAlign w:val="center"/>
          </w:tcPr>
          <w:p>
            <w:pPr>
              <w:jc w:val="right"/>
              <w:rPr>
                <w:rFonts w:ascii="宋体" w:hAnsi="宋体"/>
              </w:rPr>
            </w:pPr>
            <w:r>
              <w:rPr>
                <w:rFonts w:ascii="宋体" w:hAnsi="宋体"/>
              </w:rPr>
              <w:t>6.94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5</w:t>
            </w:r>
          </w:p>
        </w:tc>
        <w:tc>
          <w:tcPr>
            <w:tcW w:w="3159" w:type="dxa"/>
            <w:shd w:val="clear" w:color="auto" w:fill="auto"/>
            <w:vAlign w:val="center"/>
          </w:tcPr>
          <w:p>
            <w:pPr>
              <w:rPr>
                <w:rFonts w:ascii="宋体" w:hAnsi="宋体"/>
                <w:szCs w:val="21"/>
              </w:rPr>
            </w:pPr>
            <w:r>
              <w:rPr>
                <w:rFonts w:ascii="宋体" w:hAnsi="宋体"/>
                <w:szCs w:val="21"/>
              </w:rPr>
              <w:t>24阜阳债</w:t>
            </w:r>
          </w:p>
        </w:tc>
        <w:tc>
          <w:tcPr>
            <w:tcW w:w="2693" w:type="dxa"/>
            <w:shd w:val="clear" w:color="auto" w:fill="auto"/>
            <w:vAlign w:val="center"/>
          </w:tcPr>
          <w:p>
            <w:pPr>
              <w:jc w:val="right"/>
              <w:rPr>
                <w:rFonts w:ascii="宋体" w:hAnsi="宋体"/>
              </w:rPr>
            </w:pPr>
            <w:r>
              <w:rPr>
                <w:rFonts w:ascii="宋体" w:hAnsi="宋体"/>
              </w:rPr>
              <w:t>12,634,372.60</w:t>
            </w:r>
          </w:p>
        </w:tc>
        <w:tc>
          <w:tcPr>
            <w:tcW w:w="2431" w:type="dxa"/>
            <w:shd w:val="clear" w:color="auto" w:fill="auto"/>
            <w:vAlign w:val="center"/>
          </w:tcPr>
          <w:p>
            <w:pPr>
              <w:jc w:val="right"/>
              <w:rPr>
                <w:rFonts w:ascii="宋体" w:hAnsi="宋体"/>
              </w:rPr>
            </w:pPr>
            <w:r>
              <w:rPr>
                <w:rFonts w:ascii="宋体" w:hAnsi="宋体"/>
              </w:rPr>
              <w:t>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6</w:t>
            </w:r>
          </w:p>
        </w:tc>
        <w:tc>
          <w:tcPr>
            <w:tcW w:w="3159" w:type="dxa"/>
            <w:shd w:val="clear" w:color="auto" w:fill="auto"/>
            <w:vAlign w:val="center"/>
          </w:tcPr>
          <w:p>
            <w:pPr>
              <w:rPr>
                <w:rFonts w:ascii="宋体" w:hAnsi="宋体"/>
                <w:szCs w:val="21"/>
              </w:rPr>
            </w:pPr>
            <w:r>
              <w:rPr>
                <w:rFonts w:ascii="宋体" w:hAnsi="宋体"/>
                <w:szCs w:val="21"/>
              </w:rPr>
              <w:t>22温国01</w:t>
            </w:r>
          </w:p>
        </w:tc>
        <w:tc>
          <w:tcPr>
            <w:tcW w:w="2693" w:type="dxa"/>
            <w:shd w:val="clear" w:color="auto" w:fill="auto"/>
            <w:vAlign w:val="center"/>
          </w:tcPr>
          <w:p>
            <w:pPr>
              <w:jc w:val="right"/>
              <w:rPr>
                <w:rFonts w:ascii="宋体" w:hAnsi="宋体"/>
              </w:rPr>
            </w:pPr>
            <w:r>
              <w:rPr>
                <w:rFonts w:ascii="宋体" w:hAnsi="宋体"/>
              </w:rPr>
              <w:t>10,261,191.78</w:t>
            </w:r>
          </w:p>
        </w:tc>
        <w:tc>
          <w:tcPr>
            <w:tcW w:w="2431" w:type="dxa"/>
            <w:shd w:val="clear" w:color="auto" w:fill="auto"/>
            <w:vAlign w:val="center"/>
          </w:tcPr>
          <w:p>
            <w:pPr>
              <w:jc w:val="right"/>
              <w:rPr>
                <w:rFonts w:ascii="宋体" w:hAnsi="宋体"/>
              </w:rPr>
            </w:pPr>
            <w:r>
              <w:rPr>
                <w:rFonts w:ascii="宋体" w:hAnsi="宋体"/>
              </w:rPr>
              <w:t>4.68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7</w:t>
            </w:r>
          </w:p>
        </w:tc>
        <w:tc>
          <w:tcPr>
            <w:tcW w:w="3159" w:type="dxa"/>
            <w:shd w:val="clear" w:color="auto" w:fill="auto"/>
            <w:vAlign w:val="center"/>
          </w:tcPr>
          <w:p>
            <w:pPr>
              <w:rPr>
                <w:rFonts w:ascii="宋体" w:hAnsi="宋体"/>
                <w:szCs w:val="21"/>
              </w:rPr>
            </w:pPr>
            <w:r>
              <w:rPr>
                <w:rFonts w:ascii="宋体" w:hAnsi="宋体"/>
                <w:szCs w:val="21"/>
              </w:rPr>
              <w:t>22湔江01</w:t>
            </w:r>
          </w:p>
        </w:tc>
        <w:tc>
          <w:tcPr>
            <w:tcW w:w="2693" w:type="dxa"/>
            <w:shd w:val="clear" w:color="auto" w:fill="auto"/>
            <w:vAlign w:val="center"/>
          </w:tcPr>
          <w:p>
            <w:pPr>
              <w:jc w:val="right"/>
              <w:rPr>
                <w:rFonts w:ascii="宋体" w:hAnsi="宋体"/>
              </w:rPr>
            </w:pPr>
            <w:r>
              <w:rPr>
                <w:rFonts w:ascii="宋体" w:hAnsi="宋体"/>
              </w:rPr>
              <w:t>10,252,383.56</w:t>
            </w:r>
          </w:p>
        </w:tc>
        <w:tc>
          <w:tcPr>
            <w:tcW w:w="2431" w:type="dxa"/>
            <w:shd w:val="clear" w:color="auto" w:fill="auto"/>
            <w:vAlign w:val="center"/>
          </w:tcPr>
          <w:p>
            <w:pPr>
              <w:jc w:val="right"/>
              <w:rPr>
                <w:rFonts w:ascii="宋体" w:hAnsi="宋体"/>
              </w:rPr>
            </w:pPr>
            <w:r>
              <w:rPr>
                <w:rFonts w:ascii="宋体" w:hAnsi="宋体"/>
              </w:rPr>
              <w:t>4.68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8</w:t>
            </w:r>
          </w:p>
        </w:tc>
        <w:tc>
          <w:tcPr>
            <w:tcW w:w="3159" w:type="dxa"/>
            <w:shd w:val="clear" w:color="auto" w:fill="auto"/>
            <w:vAlign w:val="center"/>
          </w:tcPr>
          <w:p>
            <w:pPr>
              <w:rPr>
                <w:rFonts w:ascii="宋体" w:hAnsi="宋体"/>
                <w:szCs w:val="21"/>
              </w:rPr>
            </w:pPr>
            <w:r>
              <w:rPr>
                <w:rFonts w:ascii="宋体" w:hAnsi="宋体"/>
                <w:szCs w:val="21"/>
              </w:rPr>
              <w:t>20香城投资MTN002</w:t>
            </w:r>
          </w:p>
        </w:tc>
        <w:tc>
          <w:tcPr>
            <w:tcW w:w="2693" w:type="dxa"/>
            <w:shd w:val="clear" w:color="auto" w:fill="auto"/>
            <w:vAlign w:val="center"/>
          </w:tcPr>
          <w:p>
            <w:pPr>
              <w:jc w:val="right"/>
              <w:rPr>
                <w:rFonts w:ascii="宋体" w:hAnsi="宋体"/>
              </w:rPr>
            </w:pPr>
            <w:r>
              <w:rPr>
                <w:rFonts w:ascii="宋体" w:hAnsi="宋体"/>
              </w:rPr>
              <w:t>10,234,698.63</w:t>
            </w:r>
          </w:p>
        </w:tc>
        <w:tc>
          <w:tcPr>
            <w:tcW w:w="2431" w:type="dxa"/>
            <w:shd w:val="clear" w:color="auto" w:fill="auto"/>
            <w:vAlign w:val="center"/>
          </w:tcPr>
          <w:p>
            <w:pPr>
              <w:jc w:val="right"/>
              <w:rPr>
                <w:rFonts w:ascii="宋体" w:hAnsi="宋体"/>
              </w:rPr>
            </w:pPr>
            <w:r>
              <w:rPr>
                <w:rFonts w:ascii="宋体" w:hAnsi="宋体"/>
              </w:rPr>
              <w:t>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9</w:t>
            </w:r>
          </w:p>
        </w:tc>
        <w:tc>
          <w:tcPr>
            <w:tcW w:w="3159" w:type="dxa"/>
            <w:shd w:val="clear" w:color="auto" w:fill="auto"/>
            <w:vAlign w:val="center"/>
          </w:tcPr>
          <w:p>
            <w:pPr>
              <w:rPr>
                <w:rFonts w:ascii="宋体" w:hAnsi="宋体"/>
                <w:szCs w:val="21"/>
              </w:rPr>
            </w:pPr>
            <w:r>
              <w:rPr>
                <w:rFonts w:ascii="宋体" w:hAnsi="宋体"/>
                <w:szCs w:val="21"/>
              </w:rPr>
              <w:t>24广西北部湾银行CD107</w:t>
            </w:r>
          </w:p>
        </w:tc>
        <w:tc>
          <w:tcPr>
            <w:tcW w:w="2693" w:type="dxa"/>
            <w:shd w:val="clear" w:color="auto" w:fill="auto"/>
            <w:vAlign w:val="center"/>
          </w:tcPr>
          <w:p>
            <w:pPr>
              <w:jc w:val="right"/>
              <w:rPr>
                <w:rFonts w:ascii="宋体" w:hAnsi="宋体"/>
              </w:rPr>
            </w:pPr>
            <w:r>
              <w:rPr>
                <w:rFonts w:ascii="宋体" w:hAnsi="宋体"/>
              </w:rPr>
              <w:t>9,948,181.59</w:t>
            </w:r>
          </w:p>
        </w:tc>
        <w:tc>
          <w:tcPr>
            <w:tcW w:w="2431" w:type="dxa"/>
            <w:shd w:val="clear" w:color="auto" w:fill="auto"/>
            <w:vAlign w:val="center"/>
          </w:tcPr>
          <w:p>
            <w:pPr>
              <w:jc w:val="right"/>
              <w:rPr>
                <w:rFonts w:ascii="宋体" w:hAnsi="宋体"/>
              </w:rPr>
            </w:pPr>
            <w:r>
              <w:rPr>
                <w:rFonts w:ascii="宋体" w:hAnsi="宋体"/>
              </w:rPr>
              <w:t>4.54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10</w:t>
            </w:r>
          </w:p>
        </w:tc>
        <w:tc>
          <w:tcPr>
            <w:tcW w:w="3159" w:type="dxa"/>
            <w:shd w:val="clear" w:color="auto" w:fill="auto"/>
            <w:vAlign w:val="center"/>
          </w:tcPr>
          <w:p>
            <w:pPr>
              <w:rPr>
                <w:rFonts w:ascii="宋体" w:hAnsi="宋体"/>
                <w:szCs w:val="21"/>
              </w:rPr>
            </w:pPr>
            <w:r>
              <w:rPr>
                <w:rFonts w:ascii="宋体" w:hAnsi="宋体"/>
                <w:szCs w:val="21"/>
              </w:rPr>
              <w:t>24乌鲁木齐银行CD137</w:t>
            </w:r>
          </w:p>
        </w:tc>
        <w:tc>
          <w:tcPr>
            <w:tcW w:w="2693" w:type="dxa"/>
            <w:shd w:val="clear" w:color="auto" w:fill="auto"/>
            <w:vAlign w:val="center"/>
          </w:tcPr>
          <w:p>
            <w:pPr>
              <w:jc w:val="right"/>
              <w:rPr>
                <w:rFonts w:ascii="宋体" w:hAnsi="宋体"/>
              </w:rPr>
            </w:pPr>
            <w:r>
              <w:rPr>
                <w:rFonts w:ascii="宋体" w:hAnsi="宋体"/>
              </w:rPr>
              <w:t>9,887,197.37</w:t>
            </w:r>
          </w:p>
        </w:tc>
        <w:tc>
          <w:tcPr>
            <w:tcW w:w="2431" w:type="dxa"/>
            <w:shd w:val="clear" w:color="auto" w:fill="auto"/>
            <w:vAlign w:val="center"/>
          </w:tcPr>
          <w:p>
            <w:pPr>
              <w:jc w:val="right"/>
              <w:rPr>
                <w:rFonts w:ascii="宋体" w:hAnsi="宋体"/>
              </w:rPr>
            </w:pPr>
            <w:bookmarkStart w:id="3" w:name="OLE_LINK5"/>
            <w:bookmarkStart w:id="4" w:name="OLE_LINK6"/>
            <w:r>
              <w:rPr>
                <w:rFonts w:ascii="宋体" w:hAnsi="宋体"/>
              </w:rPr>
              <w:t>4.51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注：前十项资产明细仅包含证券投资、场外投资，不包含银行存款、存出保证金、清算备付金等资产。</w:t>
      </w:r>
    </w:p>
    <w:p>
      <w:pPr>
        <w:pStyle w:val="40"/>
        <w:rPr>
          <w:highlight w:val="none"/>
        </w:rPr>
      </w:pPr>
      <w:r>
        <w:rPr>
          <w:highlight w:val="none"/>
        </w:rPr>
        <w:t>托管人报告</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）托管资产保管</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托管资产独立于</w:t>
      </w:r>
      <w:r>
        <w:rPr>
          <w:rFonts w:hint="eastAsia" w:ascii="宋体" w:hAnsi="宋体"/>
          <w:szCs w:val="21"/>
          <w:highlight w:val="none"/>
          <w:lang w:val="en-US" w:eastAsia="zh-CN"/>
        </w:rPr>
        <w:t>招商银行</w:t>
      </w:r>
      <w:r>
        <w:rPr>
          <w:rFonts w:hint="eastAsia" w:ascii="宋体" w:hAnsi="宋体"/>
          <w:szCs w:val="21"/>
          <w:highlight w:val="none"/>
        </w:rPr>
        <w:t>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）会计核算和估值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我行按照与四川银行股份有限公司在托管协议中约定的统一记账方法和会计处理原则，独立地设置、登录和保管本产品的全套账册，进行会计核算和资产估值。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）定期核对有关数据</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我行根据托管协议约定与四川银行股份有限公司定期进行账务核对。</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4</w:t>
      </w:r>
      <w:r>
        <w:rPr>
          <w:rFonts w:hint="eastAsia" w:ascii="宋体" w:hAnsi="宋体"/>
          <w:szCs w:val="21"/>
          <w:highlight w:val="none"/>
        </w:rPr>
        <w:t>）投资监督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lang w:val="en-US" w:eastAsia="zh-CN"/>
        </w:rPr>
        <w:t>招商银行</w:t>
      </w:r>
      <w:r>
        <w:rPr>
          <w:rFonts w:hint="eastAsia" w:ascii="宋体" w:hAnsi="宋体"/>
          <w:szCs w:val="21"/>
          <w:highlight w:val="none"/>
        </w:rPr>
        <w:t>根据法规、托管协议以及双方约定的投资监督条款，对投资运作情况进行监督。</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托管人声明：</w:t>
      </w:r>
      <w:r>
        <w:rPr>
          <w:rFonts w:hint="eastAsia" w:ascii="宋体" w:hAnsi="宋体"/>
          <w:szCs w:val="21"/>
          <w:highlight w:val="none"/>
          <w:lang w:val="en-US" w:eastAsia="zh-CN"/>
        </w:rPr>
        <w:t>招商银行</w:t>
      </w:r>
      <w:r>
        <w:rPr>
          <w:rFonts w:hint="eastAsia" w:ascii="宋体" w:hAnsi="宋体"/>
          <w:szCs w:val="21"/>
          <w:highlight w:val="none"/>
        </w:rPr>
        <w:t>具备完善的公司治理结构、内部稽核监控制度和风险控制制度，我行在四川银行定开系列6个月16号净值型理财产品托管的过程中，严格遵守有关法律法规、托管协议的规定，尽职尽责地履行托管义务并安全保管托管资产。</w:t>
      </w:r>
    </w:p>
    <w:p>
      <w:pPr>
        <w:pStyle w:val="40"/>
        <w:rPr>
          <w:highlight w:val="none"/>
        </w:rPr>
      </w:pPr>
      <w:r>
        <w:rPr>
          <w:rFonts w:hint="eastAsia"/>
          <w:highlight w:val="none"/>
          <w:lang w:val="en-US"/>
        </w:rPr>
        <w:t>关联交易情况说明</w:t>
      </w:r>
    </w:p>
    <w:p>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2025-03-31</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54BC"/>
    <w:rsid w:val="000957D7"/>
    <w:rsid w:val="00096252"/>
    <w:rsid w:val="000A0247"/>
    <w:rsid w:val="000A1C35"/>
    <w:rsid w:val="000B049B"/>
    <w:rsid w:val="000B12F7"/>
    <w:rsid w:val="000B65EC"/>
    <w:rsid w:val="000C0357"/>
    <w:rsid w:val="000C5B47"/>
    <w:rsid w:val="000D078C"/>
    <w:rsid w:val="000D4CEA"/>
    <w:rsid w:val="000D5DDE"/>
    <w:rsid w:val="000E103E"/>
    <w:rsid w:val="000E2280"/>
    <w:rsid w:val="000E5BF4"/>
    <w:rsid w:val="000E7303"/>
    <w:rsid w:val="000E7594"/>
    <w:rsid w:val="000E7EE4"/>
    <w:rsid w:val="000F1CA3"/>
    <w:rsid w:val="000F1EB8"/>
    <w:rsid w:val="000F79B4"/>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9201F"/>
    <w:rsid w:val="00196688"/>
    <w:rsid w:val="001A6A60"/>
    <w:rsid w:val="001A6DCE"/>
    <w:rsid w:val="001B0D81"/>
    <w:rsid w:val="001B2258"/>
    <w:rsid w:val="001B3575"/>
    <w:rsid w:val="001B43F0"/>
    <w:rsid w:val="001C4ACD"/>
    <w:rsid w:val="001C5999"/>
    <w:rsid w:val="001D364E"/>
    <w:rsid w:val="001E1A37"/>
    <w:rsid w:val="001E27AF"/>
    <w:rsid w:val="001E2A08"/>
    <w:rsid w:val="001E4B7A"/>
    <w:rsid w:val="001E7354"/>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70"/>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15C27"/>
    <w:rsid w:val="004169FD"/>
    <w:rsid w:val="00420876"/>
    <w:rsid w:val="0042283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4F71"/>
    <w:rsid w:val="00527A49"/>
    <w:rsid w:val="005310A6"/>
    <w:rsid w:val="0053595B"/>
    <w:rsid w:val="00537901"/>
    <w:rsid w:val="00540DE6"/>
    <w:rsid w:val="00542A91"/>
    <w:rsid w:val="0054387B"/>
    <w:rsid w:val="005465B6"/>
    <w:rsid w:val="00554065"/>
    <w:rsid w:val="00555D8D"/>
    <w:rsid w:val="00560EAF"/>
    <w:rsid w:val="00572059"/>
    <w:rsid w:val="00573E83"/>
    <w:rsid w:val="005775FA"/>
    <w:rsid w:val="00583550"/>
    <w:rsid w:val="00591622"/>
    <w:rsid w:val="005947ED"/>
    <w:rsid w:val="00596277"/>
    <w:rsid w:val="005B6C71"/>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307A"/>
    <w:rsid w:val="006B0B91"/>
    <w:rsid w:val="006B24E7"/>
    <w:rsid w:val="006B554E"/>
    <w:rsid w:val="006B5B87"/>
    <w:rsid w:val="006C21A8"/>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710F9C"/>
    <w:rsid w:val="00711860"/>
    <w:rsid w:val="00714D1B"/>
    <w:rsid w:val="00717029"/>
    <w:rsid w:val="00720312"/>
    <w:rsid w:val="0072202C"/>
    <w:rsid w:val="0072288E"/>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C00B5"/>
    <w:rsid w:val="007C271F"/>
    <w:rsid w:val="007D4695"/>
    <w:rsid w:val="007D5F69"/>
    <w:rsid w:val="007D7D2D"/>
    <w:rsid w:val="007E24A8"/>
    <w:rsid w:val="007E6BBB"/>
    <w:rsid w:val="007F261A"/>
    <w:rsid w:val="007F4389"/>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509BD"/>
    <w:rsid w:val="008518FE"/>
    <w:rsid w:val="008631C4"/>
    <w:rsid w:val="00863246"/>
    <w:rsid w:val="008647E2"/>
    <w:rsid w:val="00865A3B"/>
    <w:rsid w:val="00867C1C"/>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B01D6A"/>
    <w:rsid w:val="00B0308C"/>
    <w:rsid w:val="00B10E2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2E9E"/>
    <w:rsid w:val="00BF5021"/>
    <w:rsid w:val="00BF6960"/>
    <w:rsid w:val="00C00573"/>
    <w:rsid w:val="00C01D6D"/>
    <w:rsid w:val="00C0394B"/>
    <w:rsid w:val="00C101D8"/>
    <w:rsid w:val="00C15724"/>
    <w:rsid w:val="00C16678"/>
    <w:rsid w:val="00C21599"/>
    <w:rsid w:val="00C244B2"/>
    <w:rsid w:val="00C30868"/>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5096"/>
    <w:rsid w:val="00D2614B"/>
    <w:rsid w:val="00D3035E"/>
    <w:rsid w:val="00D30B4B"/>
    <w:rsid w:val="00D31FD3"/>
    <w:rsid w:val="00D3496C"/>
    <w:rsid w:val="00D3643E"/>
    <w:rsid w:val="00D40841"/>
    <w:rsid w:val="00D411DB"/>
    <w:rsid w:val="00D452EA"/>
    <w:rsid w:val="00D57ABE"/>
    <w:rsid w:val="00D60D0A"/>
    <w:rsid w:val="00D63034"/>
    <w:rsid w:val="00D664DF"/>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4D29"/>
    <w:rsid w:val="00F35C2C"/>
    <w:rsid w:val="00F36C13"/>
    <w:rsid w:val="00F44F0C"/>
    <w:rsid w:val="00F45974"/>
    <w:rsid w:val="00F45EFD"/>
    <w:rsid w:val="00F51B8A"/>
    <w:rsid w:val="00F53A4B"/>
    <w:rsid w:val="00F64D16"/>
    <w:rsid w:val="00F65B50"/>
    <w:rsid w:val="00F66D00"/>
    <w:rsid w:val="00F67B3D"/>
    <w:rsid w:val="00F733D2"/>
    <w:rsid w:val="00F87CF1"/>
    <w:rsid w:val="00F906DF"/>
    <w:rsid w:val="00F934DE"/>
    <w:rsid w:val="00F941F7"/>
    <w:rsid w:val="00F95832"/>
    <w:rsid w:val="00F9693E"/>
    <w:rsid w:val="00F973AF"/>
    <w:rsid w:val="00F9745A"/>
    <w:rsid w:val="00FA5CE9"/>
    <w:rsid w:val="00FA6695"/>
    <w:rsid w:val="00FA794C"/>
    <w:rsid w:val="00FB1C77"/>
    <w:rsid w:val="00FB3F6A"/>
    <w:rsid w:val="00FD2905"/>
    <w:rsid w:val="00FE1CEA"/>
    <w:rsid w:val="00FE3C8E"/>
    <w:rsid w:val="00FE3E86"/>
    <w:rsid w:val="00FE4490"/>
    <w:rsid w:val="00FE51F2"/>
    <w:rsid w:val="00FE52AD"/>
    <w:rsid w:val="00FE5547"/>
    <w:rsid w:val="00FF15E9"/>
    <w:rsid w:val="00FF6973"/>
    <w:rsid w:val="04034F27"/>
    <w:rsid w:val="0F2E325D"/>
    <w:rsid w:val="134C76E8"/>
    <w:rsid w:val="22F80CAF"/>
    <w:rsid w:val="23AB2840"/>
    <w:rsid w:val="2FC23DC4"/>
    <w:rsid w:val="339E2F39"/>
    <w:rsid w:val="38A16717"/>
    <w:rsid w:val="46A87316"/>
    <w:rsid w:val="512D246A"/>
    <w:rsid w:val="54B27197"/>
    <w:rsid w:val="5A9E6B68"/>
    <w:rsid w:val="769122E5"/>
    <w:rsid w:val="789A33D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3ED8-1EE1-4735-B60D-886198643719}">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292</Words>
  <Characters>1665</Characters>
  <Lines>13</Lines>
  <Paragraphs>3</Paragraphs>
  <TotalTime>0</TotalTime>
  <ScaleCrop>false</ScaleCrop>
  <LinksUpToDate>false</LinksUpToDate>
  <CharactersWithSpaces>1954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01142875</cp:lastModifiedBy>
  <cp:lastPrinted>2411-12-31T16:00:00Z</cp:lastPrinted>
  <dcterms:modified xsi:type="dcterms:W3CDTF">2025-01-16T11:19:18Z</dcterms:modified>
  <dc:title>gongGaoMingCheng</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ED34D9402E1A4C98B96527F311C55F7A</vt:lpwstr>
  </property>
  <property fmtid="{D5CDD505-2E9C-101B-9397-08002B2CF9AE}" pid="4" name="Generator">
    <vt:lpwstr>NPOI</vt:lpwstr>
  </property>
  <property fmtid="{D5CDD505-2E9C-101B-9397-08002B2CF9AE}" pid="5" name="Generator Version">
    <vt:lpwstr>2.2.1</vt:lpwstr>
  </property>
</Properties>
</file>