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四川银行定开系列6个月1号净值型理财产品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2021-11-16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588,649,000.00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11.61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6,791,258.76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6,853,940.07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590,379,817.56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1.1161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590,379,817.56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1.1161</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357,664,718.30</w:t>
            </w:r>
          </w:p>
        </w:tc>
        <w:tc>
          <w:tcPr>
            <w:tcW w:w="1749" w:type="dxa"/>
            <w:shd w:val="clear" w:color="auto" w:fill="auto"/>
            <w:vAlign w:val="center"/>
          </w:tcPr>
          <w:p>
            <w:pPr>
              <w:jc w:val="right"/>
              <w:rPr>
                <w:rFonts w:ascii="宋体" w:hAnsi="宋体"/>
              </w:rPr>
            </w:pPr>
            <w:r>
              <w:rPr>
                <w:rFonts w:hint="eastAsia" w:ascii="宋体" w:hAnsi="宋体"/>
              </w:rPr>
              <w:t>60.24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357,664,718.30</w:t>
            </w:r>
          </w:p>
        </w:tc>
        <w:tc>
          <w:tcPr>
            <w:tcW w:w="1749" w:type="dxa"/>
            <w:shd w:val="clear" w:color="auto" w:fill="auto"/>
            <w:vAlign w:val="center"/>
          </w:tcPr>
          <w:p>
            <w:pPr>
              <w:jc w:val="right"/>
              <w:rPr>
                <w:rFonts w:ascii="宋体" w:hAnsi="宋体"/>
              </w:rPr>
            </w:pPr>
            <w:r>
              <w:rPr>
                <w:rFonts w:hint="eastAsia" w:ascii="宋体" w:hAnsi="宋体"/>
              </w:rPr>
              <w:t>60.24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220,084,553.82</w:t>
            </w:r>
          </w:p>
        </w:tc>
        <w:tc>
          <w:tcPr>
            <w:tcW w:w="1749" w:type="dxa"/>
            <w:shd w:val="clear" w:color="auto" w:fill="auto"/>
            <w:vAlign w:val="center"/>
          </w:tcPr>
          <w:p>
            <w:pPr>
              <w:jc w:val="right"/>
              <w:rPr>
                <w:rFonts w:ascii="宋体" w:hAnsi="宋体"/>
              </w:rPr>
            </w:pPr>
            <w:r>
              <w:rPr>
                <w:rFonts w:hint="eastAsia" w:ascii="宋体" w:hAnsi="宋体"/>
              </w:rPr>
              <w:t>37.07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15,956,789.53</w:t>
            </w:r>
          </w:p>
        </w:tc>
        <w:tc>
          <w:tcPr>
            <w:tcW w:w="1749" w:type="dxa"/>
            <w:shd w:val="clear" w:color="auto" w:fill="auto"/>
            <w:vAlign w:val="center"/>
          </w:tcPr>
          <w:p>
            <w:pPr>
              <w:jc w:val="right"/>
              <w:rPr>
                <w:rFonts w:ascii="宋体" w:hAnsi="宋体"/>
              </w:rPr>
            </w:pPr>
            <w:r>
              <w:rPr>
                <w:rFonts w:hint="eastAsia" w:ascii="宋体" w:hAnsi="宋体"/>
              </w:rPr>
              <w:t>2.69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39,794.67</w:t>
            </w:r>
          </w:p>
        </w:tc>
        <w:tc>
          <w:tcPr>
            <w:tcW w:w="1749" w:type="dxa"/>
            <w:shd w:val="clear" w:color="auto" w:fill="auto"/>
            <w:vAlign w:val="center"/>
          </w:tcPr>
          <w:p>
            <w:pPr>
              <w:jc w:val="right"/>
              <w:rPr>
                <w:rFonts w:ascii="宋体" w:hAnsi="宋体"/>
              </w:rPr>
            </w:pPr>
            <w:r>
              <w:rPr>
                <w:rFonts w:hint="eastAsia" w:ascii="宋体" w:hAnsi="宋体"/>
              </w:rPr>
              <w:t>0.01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593,745,856.32</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220,084,553.82</w:t>
            </w:r>
          </w:p>
        </w:tc>
        <w:tc>
          <w:tcPr>
            <w:tcW w:w="2431" w:type="dxa"/>
            <w:shd w:val="clear" w:color="auto" w:fill="auto"/>
            <w:vAlign w:val="center"/>
          </w:tcPr>
          <w:p>
            <w:pPr>
              <w:jc w:val="right"/>
              <w:rPr>
                <w:rFonts w:ascii="宋体" w:hAnsi="宋体"/>
              </w:rPr>
            </w:pPr>
            <w:r>
              <w:rPr>
                <w:rFonts w:ascii="宋体" w:hAnsi="宋体"/>
              </w:rPr>
              <w:t>37.28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24上海银行CD234</w:t>
            </w:r>
          </w:p>
        </w:tc>
        <w:tc>
          <w:tcPr>
            <w:tcW w:w="2693" w:type="dxa"/>
            <w:shd w:val="clear" w:color="auto" w:fill="auto"/>
            <w:vAlign w:val="center"/>
          </w:tcPr>
          <w:p>
            <w:pPr>
              <w:jc w:val="right"/>
              <w:rPr>
                <w:rFonts w:ascii="宋体" w:hAnsi="宋体"/>
              </w:rPr>
            </w:pPr>
            <w:r>
              <w:rPr>
                <w:rFonts w:ascii="宋体" w:hAnsi="宋体"/>
              </w:rPr>
              <w:t>54,955,680.65</w:t>
            </w:r>
          </w:p>
        </w:tc>
        <w:tc>
          <w:tcPr>
            <w:tcW w:w="2431" w:type="dxa"/>
            <w:shd w:val="clear" w:color="auto" w:fill="auto"/>
            <w:vAlign w:val="center"/>
          </w:tcPr>
          <w:p>
            <w:pPr>
              <w:jc w:val="right"/>
              <w:rPr>
                <w:rFonts w:ascii="宋体" w:hAnsi="宋体"/>
              </w:rPr>
            </w:pPr>
            <w:r>
              <w:rPr>
                <w:rFonts w:ascii="宋体" w:hAnsi="宋体"/>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24西汇投资PPN001</w:t>
            </w:r>
          </w:p>
        </w:tc>
        <w:tc>
          <w:tcPr>
            <w:tcW w:w="2693" w:type="dxa"/>
            <w:shd w:val="clear" w:color="auto" w:fill="auto"/>
            <w:vAlign w:val="center"/>
          </w:tcPr>
          <w:p>
            <w:pPr>
              <w:jc w:val="right"/>
              <w:rPr>
                <w:rFonts w:ascii="宋体" w:hAnsi="宋体"/>
              </w:rPr>
            </w:pPr>
            <w:r>
              <w:rPr>
                <w:rFonts w:ascii="宋体" w:hAnsi="宋体"/>
              </w:rPr>
              <w:t>35,832,204.11</w:t>
            </w:r>
          </w:p>
        </w:tc>
        <w:tc>
          <w:tcPr>
            <w:tcW w:w="2431" w:type="dxa"/>
            <w:shd w:val="clear" w:color="auto" w:fill="auto"/>
            <w:vAlign w:val="center"/>
          </w:tcPr>
          <w:p>
            <w:pPr>
              <w:jc w:val="right"/>
              <w:rPr>
                <w:rFonts w:ascii="宋体" w:hAnsi="宋体"/>
              </w:rPr>
            </w:pPr>
            <w:r>
              <w:rPr>
                <w:rFonts w:ascii="宋体" w:hAnsi="宋体"/>
              </w:rPr>
              <w:t>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24成都开投PPN002</w:t>
            </w:r>
          </w:p>
        </w:tc>
        <w:tc>
          <w:tcPr>
            <w:tcW w:w="2693" w:type="dxa"/>
            <w:shd w:val="clear" w:color="auto" w:fill="auto"/>
            <w:vAlign w:val="center"/>
          </w:tcPr>
          <w:p>
            <w:pPr>
              <w:jc w:val="right"/>
              <w:rPr>
                <w:rFonts w:ascii="宋体" w:hAnsi="宋体"/>
              </w:rPr>
            </w:pPr>
            <w:r>
              <w:rPr>
                <w:rFonts w:ascii="宋体" w:hAnsi="宋体"/>
              </w:rPr>
              <w:t>31,191,000.00</w:t>
            </w:r>
          </w:p>
        </w:tc>
        <w:tc>
          <w:tcPr>
            <w:tcW w:w="2431" w:type="dxa"/>
            <w:shd w:val="clear" w:color="auto" w:fill="auto"/>
            <w:vAlign w:val="center"/>
          </w:tcPr>
          <w:p>
            <w:pPr>
              <w:jc w:val="right"/>
              <w:rPr>
                <w:rFonts w:ascii="宋体" w:hAnsi="宋体"/>
              </w:rPr>
            </w:pPr>
            <w:r>
              <w:rPr>
                <w:rFonts w:ascii="宋体" w:hAnsi="宋体"/>
              </w:rPr>
              <w:t>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24兴锦农业PPN001A</w:t>
            </w:r>
          </w:p>
        </w:tc>
        <w:tc>
          <w:tcPr>
            <w:tcW w:w="2693" w:type="dxa"/>
            <w:shd w:val="clear" w:color="auto" w:fill="auto"/>
            <w:vAlign w:val="center"/>
          </w:tcPr>
          <w:p>
            <w:pPr>
              <w:jc w:val="right"/>
              <w:rPr>
                <w:rFonts w:ascii="宋体" w:hAnsi="宋体"/>
              </w:rPr>
            </w:pPr>
            <w:r>
              <w:rPr>
                <w:rFonts w:ascii="宋体" w:hAnsi="宋体"/>
              </w:rPr>
              <w:t>31,043,860.27</w:t>
            </w:r>
          </w:p>
        </w:tc>
        <w:tc>
          <w:tcPr>
            <w:tcW w:w="2431" w:type="dxa"/>
            <w:shd w:val="clear" w:color="auto" w:fill="auto"/>
            <w:vAlign w:val="center"/>
          </w:tcPr>
          <w:p>
            <w:pPr>
              <w:jc w:val="right"/>
              <w:rPr>
                <w:rFonts w:ascii="宋体" w:hAnsi="宋体"/>
              </w:rPr>
            </w:pPr>
            <w:r>
              <w:rPr>
                <w:rFonts w:ascii="宋体" w:hAnsi="宋体"/>
              </w:rPr>
              <w:t>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24乐高01</w:t>
            </w:r>
          </w:p>
        </w:tc>
        <w:tc>
          <w:tcPr>
            <w:tcW w:w="2693" w:type="dxa"/>
            <w:shd w:val="clear" w:color="auto" w:fill="auto"/>
            <w:vAlign w:val="center"/>
          </w:tcPr>
          <w:p>
            <w:pPr>
              <w:jc w:val="right"/>
              <w:rPr>
                <w:rFonts w:ascii="宋体" w:hAnsi="宋体"/>
              </w:rPr>
            </w:pPr>
            <w:r>
              <w:rPr>
                <w:rFonts w:ascii="宋体" w:hAnsi="宋体"/>
              </w:rPr>
              <w:t>25,156,438.36</w:t>
            </w:r>
          </w:p>
        </w:tc>
        <w:tc>
          <w:tcPr>
            <w:tcW w:w="2431" w:type="dxa"/>
            <w:shd w:val="clear" w:color="auto" w:fill="auto"/>
            <w:vAlign w:val="center"/>
          </w:tcPr>
          <w:p>
            <w:pPr>
              <w:jc w:val="right"/>
              <w:rPr>
                <w:rFonts w:ascii="宋体" w:hAnsi="宋体"/>
              </w:rPr>
            </w:pPr>
            <w:r>
              <w:rPr>
                <w:rFonts w:ascii="宋体" w:hAnsi="宋体"/>
              </w:rPr>
              <w:t>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24新津城乡PPN001B</w:t>
            </w:r>
          </w:p>
        </w:tc>
        <w:tc>
          <w:tcPr>
            <w:tcW w:w="2693" w:type="dxa"/>
            <w:shd w:val="clear" w:color="auto" w:fill="auto"/>
            <w:vAlign w:val="center"/>
          </w:tcPr>
          <w:p>
            <w:pPr>
              <w:jc w:val="right"/>
              <w:rPr>
                <w:rFonts w:ascii="宋体" w:hAnsi="宋体"/>
              </w:rPr>
            </w:pPr>
            <w:r>
              <w:rPr>
                <w:rFonts w:ascii="宋体" w:hAnsi="宋体"/>
              </w:rPr>
              <w:t>20,420,246.58</w:t>
            </w:r>
          </w:p>
        </w:tc>
        <w:tc>
          <w:tcPr>
            <w:tcW w:w="2431" w:type="dxa"/>
            <w:shd w:val="clear" w:color="auto" w:fill="auto"/>
            <w:vAlign w:val="center"/>
          </w:tcPr>
          <w:p>
            <w:pPr>
              <w:jc w:val="right"/>
              <w:rPr>
                <w:rFonts w:ascii="宋体" w:hAnsi="宋体"/>
              </w:rPr>
            </w:pPr>
            <w:r>
              <w:rPr>
                <w:rFonts w:ascii="宋体" w:hAnsi="宋体"/>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24兴蜀投资PPN001</w:t>
            </w:r>
          </w:p>
        </w:tc>
        <w:tc>
          <w:tcPr>
            <w:tcW w:w="2693" w:type="dxa"/>
            <w:shd w:val="clear" w:color="auto" w:fill="auto"/>
            <w:vAlign w:val="center"/>
          </w:tcPr>
          <w:p>
            <w:pPr>
              <w:jc w:val="right"/>
              <w:rPr>
                <w:rFonts w:ascii="宋体" w:hAnsi="宋体"/>
              </w:rPr>
            </w:pPr>
            <w:r>
              <w:rPr>
                <w:rFonts w:ascii="宋体" w:hAnsi="宋体"/>
              </w:rPr>
              <w:t>15,352,853.42</w:t>
            </w:r>
          </w:p>
        </w:tc>
        <w:tc>
          <w:tcPr>
            <w:tcW w:w="2431" w:type="dxa"/>
            <w:shd w:val="clear" w:color="auto" w:fill="auto"/>
            <w:vAlign w:val="center"/>
          </w:tcPr>
          <w:p>
            <w:pPr>
              <w:jc w:val="right"/>
              <w:rPr>
                <w:rFonts w:ascii="宋体" w:hAnsi="宋体"/>
              </w:rPr>
            </w:pPr>
            <w:r>
              <w:rPr>
                <w:rFonts w:ascii="宋体" w:hAnsi="宋体"/>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24晋商银行CD054</w:t>
            </w:r>
          </w:p>
        </w:tc>
        <w:tc>
          <w:tcPr>
            <w:tcW w:w="2693" w:type="dxa"/>
            <w:shd w:val="clear" w:color="auto" w:fill="auto"/>
            <w:vAlign w:val="center"/>
          </w:tcPr>
          <w:p>
            <w:pPr>
              <w:jc w:val="right"/>
              <w:rPr>
                <w:rFonts w:ascii="宋体" w:hAnsi="宋体"/>
              </w:rPr>
            </w:pPr>
            <w:r>
              <w:rPr>
                <w:rFonts w:ascii="宋体" w:hAnsi="宋体"/>
              </w:rPr>
              <w:t>14,966,593.10</w:t>
            </w:r>
          </w:p>
        </w:tc>
        <w:tc>
          <w:tcPr>
            <w:tcW w:w="2431" w:type="dxa"/>
            <w:shd w:val="clear" w:color="auto" w:fill="auto"/>
            <w:vAlign w:val="center"/>
          </w:tcPr>
          <w:p>
            <w:pPr>
              <w:jc w:val="right"/>
              <w:rPr>
                <w:rFonts w:ascii="宋体" w:hAnsi="宋体"/>
              </w:rPr>
            </w:pPr>
            <w:r>
              <w:rPr>
                <w:rFonts w:ascii="宋体" w:hAnsi="宋体"/>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24绵阳投资MTN001A</w:t>
            </w:r>
          </w:p>
        </w:tc>
        <w:tc>
          <w:tcPr>
            <w:tcW w:w="2693" w:type="dxa"/>
            <w:shd w:val="clear" w:color="auto" w:fill="auto"/>
            <w:vAlign w:val="center"/>
          </w:tcPr>
          <w:p>
            <w:pPr>
              <w:jc w:val="right"/>
              <w:rPr>
                <w:rFonts w:ascii="宋体" w:hAnsi="宋体"/>
              </w:rPr>
            </w:pPr>
            <w:r>
              <w:rPr>
                <w:rFonts w:ascii="宋体" w:hAnsi="宋体"/>
              </w:rPr>
              <w:t>10,377,912.33</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1.76</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四川银行定开系列6个月1号净值型理财产品托管的过程中，严格遵守有关法律法规、托管协议的规定，尽职尽责地履行托管义务并安全保管托管资产。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宋体" w:hAnsi="宋体"/>
          <w:szCs w:val="21"/>
        </w:rPr>
        <w:t>22凉山发展MTN001</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8A16717"/>
    <w:rsid w:val="44E775B7"/>
    <w:rsid w:val="46A87316"/>
    <w:rsid w:val="499C1DE0"/>
    <w:rsid w:val="512D246A"/>
    <w:rsid w:val="54B27197"/>
    <w:rsid w:val="5A9E6B68"/>
    <w:rsid w:val="769122E5"/>
    <w:rsid w:val="77161FF9"/>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2025-02-07T10:36:37Z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