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 xml:space="preserve">四川银行定开系列6个月3号净值型理财产品 </w:t>
      </w:r>
    </w:p>
    <w:p>
      <w:pPr>
        <w:jc w:val="center"/>
        <w:rPr>
          <w:rFonts w:ascii="宋体" w:hAnsi="宋体"/>
          <w:b/>
          <w:bCs/>
          <w:sz w:val="48"/>
          <w:szCs w:val="30"/>
        </w:rPr>
      </w:pPr>
      <w:r>
        <w:rPr>
          <w:rFonts w:ascii="宋体" w:hAnsi="宋体"/>
          <w:b/>
          <w:bCs/>
          <w:sz w:val="48"/>
          <w:szCs w:val="30"/>
        </w:rPr>
        <w:t>2024年年度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b/>
          <w:bCs/>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自2024-01-01起至2024-12-31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四川银行定开系列6个月3号净值型理财产品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C1438121000172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2021-12-07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553,085,000.00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业绩比较基准（如有）</w:t>
            </w:r>
          </w:p>
        </w:tc>
        <w:tc>
          <w:tcPr>
            <w:tcW w:w="5027" w:type="dxa"/>
            <w:vAlign w:val="center"/>
          </w:tcPr>
          <w:p>
            <w:pPr>
              <w:jc w:val="left"/>
              <w:rPr>
                <w:rFonts w:ascii="宋体" w:hAnsi="宋体"/>
              </w:rPr>
            </w:pPr>
            <w:r>
              <w:rPr>
                <w:rFonts w:ascii="宋体" w:hAnsi="宋体"/>
              </w:rPr>
              <w:t>[2.45%-3.55%]/年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期末杠杆水平</w:t>
            </w:r>
          </w:p>
        </w:tc>
        <w:tc>
          <w:tcPr>
            <w:tcW w:w="5027"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100.69%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ascii="宋体" w:hAnsi="宋体"/>
              </w:rPr>
            </w:pPr>
            <w:r>
              <w:rPr>
                <w:rFonts w:hint="eastAsia" w:ascii="宋体" w:hAnsi="宋体"/>
              </w:rPr>
              <w:t>四川银行-四川银行定开系列6个月3号净值型理财产品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ascii="宋体" w:hAnsi="宋体"/>
              </w:rPr>
            </w:pPr>
            <w:r>
              <w:rPr>
                <w:rFonts w:hint="eastAsia" w:ascii="宋体" w:hAnsi="宋体"/>
              </w:rPr>
              <w:t>128912158810204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托管户开户行</w:t>
            </w:r>
          </w:p>
        </w:tc>
        <w:tc>
          <w:tcPr>
            <w:tcW w:w="5027" w:type="dxa"/>
            <w:vAlign w:val="center"/>
          </w:tcPr>
          <w:p>
            <w:pPr>
              <w:jc w:val="left"/>
              <w:rPr>
                <w:rFonts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both"/>
              <w:rPr>
                <w:rFonts w:ascii="宋体" w:hAnsi="宋体"/>
              </w:rPr>
            </w:pPr>
            <w:r>
              <w:rPr>
                <w:rFonts w:hint="eastAsia" w:ascii="宋体" w:hAnsi="宋体"/>
              </w:rPr>
              <w:t>当期（</w:t>
            </w:r>
            <w:r>
              <w:rPr>
                <w:rFonts w:ascii="宋体" w:hAnsi="宋体"/>
              </w:rPr>
              <w:t>2024-01-01</w:t>
            </w:r>
            <w:r>
              <w:rPr>
                <w:rFonts w:hint="eastAsia" w:ascii="宋体" w:hAnsi="宋体"/>
              </w:rPr>
              <w:t>至</w:t>
            </w:r>
            <w:r>
              <w:rPr>
                <w:rFonts w:ascii="宋体" w:hAnsi="宋体"/>
              </w:rPr>
              <w:t>2024-12-31</w:t>
            </w:r>
            <w:r>
              <w:rPr>
                <w:rFonts w:hint="eastAsia" w:ascii="宋体" w:hAnsi="宋体"/>
              </w:rPr>
              <w:t>）</w:t>
            </w:r>
          </w:p>
        </w:tc>
        <w:tc>
          <w:tcPr>
            <w:tcW w:w="5103" w:type="dxa"/>
            <w:vAlign w:val="center"/>
          </w:tcPr>
          <w:p>
            <w:pPr>
              <w:jc w:val="right"/>
              <w:rPr>
                <w:rFonts w:ascii="宋体" w:hAnsi="宋体"/>
              </w:rPr>
            </w:pPr>
            <w:r>
              <w:rPr>
                <w:rFonts w:hint="eastAsia" w:ascii="宋体" w:hAnsi="宋体"/>
              </w:rPr>
              <w:t>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left"/>
              <w:rPr>
                <w:rFonts w:ascii="宋体" w:hAnsi="宋体"/>
              </w:rPr>
            </w:pPr>
            <w:r>
              <w:rPr>
                <w:rFonts w:hint="eastAsia" w:ascii="宋体" w:hAnsi="宋体"/>
              </w:rPr>
              <w:t>自产品成立日至今</w:t>
            </w:r>
          </w:p>
        </w:tc>
        <w:tc>
          <w:tcPr>
            <w:tcW w:w="5103" w:type="dxa"/>
            <w:vAlign w:val="center"/>
          </w:tcPr>
          <w:p>
            <w:pPr>
              <w:jc w:val="right"/>
              <w:rPr>
                <w:rFonts w:ascii="宋体" w:hAnsi="宋体"/>
              </w:rPr>
            </w:pPr>
            <w:r>
              <w:rPr>
                <w:rFonts w:hint="eastAsia" w:ascii="宋体" w:hAnsi="宋体"/>
              </w:rPr>
              <w:t>11.05</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ascii="宋体" w:hAnsi="宋体"/>
                <w:b/>
                <w:szCs w:val="21"/>
              </w:rPr>
              <w:t>项目</w:t>
            </w:r>
          </w:p>
        </w:tc>
        <w:tc>
          <w:tcPr>
            <w:tcW w:w="5027" w:type="dxa"/>
            <w:shd w:val="clear" w:color="auto" w:fill="D9D9D9"/>
            <w:vAlign w:val="center"/>
          </w:tcPr>
          <w:p>
            <w:pPr>
              <w:jc w:val="left"/>
              <w:rPr>
                <w:b/>
              </w:rPr>
            </w:pPr>
            <w:r>
              <w:rPr>
                <w:b/>
              </w:rPr>
              <w:t>2024-01-01</w:t>
            </w:r>
            <w:r>
              <w:rPr>
                <w:rFonts w:hint="eastAsia"/>
                <w:b/>
              </w:rPr>
              <w:t xml:space="preserve">至 </w:t>
            </w:r>
            <w:r>
              <w:rPr>
                <w:b/>
              </w:rPr>
              <w:t>2024-12-31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rPr>
                <w:rFonts w:ascii="宋体" w:hAnsi="宋体"/>
              </w:rPr>
            </w:pPr>
            <w:r>
              <w:rPr>
                <w:rFonts w:ascii="宋体" w:hAnsi="宋体"/>
              </w:rPr>
              <w:t>5,609,511.37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rPr>
                <w:rFonts w:ascii="宋体" w:hAnsi="宋体"/>
              </w:rPr>
            </w:pPr>
            <w:r>
              <w:rPr>
                <w:rFonts w:ascii="宋体" w:hAnsi="宋体"/>
              </w:rPr>
              <w:t>5,519,375.85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rPr>
                <w:rFonts w:ascii="宋体" w:hAnsi="宋体"/>
              </w:rPr>
            </w:pPr>
            <w:r>
              <w:rPr>
                <w:rFonts w:ascii="宋体" w:hAnsi="宋体"/>
              </w:rPr>
              <w:t>554,066,120.36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rPr>
                <w:rFonts w:ascii="宋体" w:hAnsi="宋体"/>
              </w:rPr>
            </w:pPr>
            <w:r>
              <w:rPr>
                <w:rFonts w:ascii="宋体" w:hAnsi="宋体"/>
              </w:rPr>
              <w:t>1.0018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both"/>
              <w:rPr>
                <w:rFonts w:hint="eastAsia" w:ascii="宋体" w:hAnsi="宋体" w:eastAsia="宋体" w:cs="Times New Roman"/>
                <w:kern w:val="2"/>
                <w:sz w:val="21"/>
                <w:lang w:val="en-US" w:eastAsia="zh-CN" w:bidi="ar-SA"/>
              </w:rPr>
            </w:pPr>
            <w:r>
              <w:rPr>
                <w:rFonts w:hint="eastAsia" w:ascii="宋体" w:hAnsi="宋体"/>
                <w:lang w:val="en-US" w:eastAsia="zh-CN"/>
              </w:rPr>
              <w:t>期末累计单位净值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1.1105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kern w:val="2"/>
                <w:sz w:val="21"/>
                <w:lang w:val="en-US" w:eastAsia="zh-CN" w:bidi="ar-SA"/>
              </w:rPr>
            </w:pPr>
            <w:r>
              <w:rPr>
                <w:rFonts w:hint="eastAsia" w:ascii="宋体" w:hAnsi="宋体"/>
              </w:rPr>
              <w:t>期末最后一个市场交易日资产净值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554,066,120.36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b/>
                <w:bCs/>
                <w:kern w:val="2"/>
                <w:sz w:val="21"/>
                <w:lang w:val="en-US" w:eastAsia="zh-CN" w:bidi="ar-SA"/>
              </w:rPr>
            </w:pPr>
            <w:r>
              <w:rPr>
                <w:rFonts w:hint="eastAsia" w:ascii="宋体" w:hAnsi="宋体"/>
              </w:rPr>
              <w:t>期末最后一个市场交易日</w:t>
            </w:r>
            <w:r>
              <w:rPr>
                <w:rFonts w:hint="eastAsia" w:ascii="宋体" w:hAnsi="宋体"/>
                <w:lang w:val="en-US" w:eastAsia="zh-CN"/>
              </w:rPr>
              <w:t>份额</w:t>
            </w:r>
            <w:r>
              <w:rPr>
                <w:rFonts w:hint="eastAsia" w:ascii="宋体" w:hAnsi="宋体"/>
              </w:rPr>
              <w:t>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kern w:val="2"/>
                <w:sz w:val="21"/>
                <w:lang w:val="en-US" w:eastAsia="zh-CN" w:bidi="ar-SA"/>
              </w:rPr>
            </w:pPr>
            <w:r>
              <w:rPr>
                <w:rFonts w:hint="eastAsia" w:ascii="宋体" w:hAnsi="宋体"/>
              </w:rPr>
              <w:t>期末最后一个市场交易日</w:t>
            </w:r>
            <w:r>
              <w:rPr>
                <w:rFonts w:hint="eastAsia" w:ascii="宋体" w:hAnsi="宋体"/>
                <w:lang w:val="en-US" w:eastAsia="zh-CN"/>
              </w:rPr>
              <w:t>累计单位</w:t>
            </w:r>
            <w:r>
              <w:rPr>
                <w:rFonts w:hint="eastAsia" w:ascii="宋体" w:hAnsi="宋体"/>
              </w:rPr>
              <w:t>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1.1105</w:t>
            </w:r>
          </w:p>
        </w:tc>
      </w:tr>
    </w:tbl>
    <w:p>
      <w:pPr>
        <w:tabs>
          <w:tab w:val="left" w:pos="3135"/>
        </w:tabs>
        <w:ind w:left="420" w:leftChars="200"/>
        <w:rPr>
          <w:rFonts w:ascii="宋体" w:hAnsi="宋体"/>
          <w:sz w:val="24"/>
        </w:rPr>
      </w:pPr>
      <w:r>
        <w:rPr>
          <w:rFonts w:hint="eastAsia" w:ascii="宋体" w:hAnsi="宋体"/>
          <w:sz w:val="24"/>
        </w:rPr>
        <w:t xml:space="preserve"> </w:t>
      </w:r>
    </w:p>
    <w:p>
      <w:pPr>
        <w:pStyle w:val="40"/>
      </w:pPr>
      <w:r>
        <w:rPr>
          <w:rFonts w:hint="eastAsia"/>
        </w:rPr>
        <w:t>投资组合情况</w:t>
      </w:r>
      <w:r>
        <w:rPr>
          <w:rFonts w:hint="eastAsia"/>
          <w:lang w:eastAsia="zh-CN"/>
        </w:rPr>
        <w:t>及</w:t>
      </w:r>
      <w:r>
        <w:rPr>
          <w:lang w:eastAsia="zh-CN"/>
        </w:rP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rPr>
          <w:lang w:val="zh-CN" w:eastAsia="zh-CN"/>
        </w:rPr>
      </w:pPr>
    </w:p>
    <w:p>
      <w:pPr>
        <w:jc w:val="right"/>
      </w:pPr>
    </w:p>
    <w:p>
      <w:pPr>
        <w:jc w:val="right"/>
      </w:pPr>
    </w:p>
    <w:p>
      <w:pPr>
        <w:jc w:val="right"/>
        <w:rPr>
          <w:rFonts w:hint="eastAsia"/>
        </w:rPr>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rPr>
                <w:rFonts w:ascii="宋体" w:hAnsi="宋体"/>
              </w:rPr>
            </w:pPr>
            <w:r>
              <w:rPr>
                <w:rFonts w:hint="eastAsia" w:ascii="宋体" w:hAnsi="宋体"/>
              </w:rPr>
              <w:t>320,174,450.05</w:t>
            </w:r>
          </w:p>
        </w:tc>
        <w:tc>
          <w:tcPr>
            <w:tcW w:w="1749" w:type="dxa"/>
            <w:shd w:val="clear" w:color="auto" w:fill="auto"/>
            <w:vAlign w:val="center"/>
          </w:tcPr>
          <w:p>
            <w:pPr>
              <w:jc w:val="right"/>
              <w:rPr>
                <w:rFonts w:ascii="宋体" w:hAnsi="宋体"/>
              </w:rPr>
            </w:pPr>
            <w:r>
              <w:rPr>
                <w:rFonts w:hint="eastAsia" w:ascii="宋体" w:hAnsi="宋体"/>
              </w:rPr>
              <w:t>57.39</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rPr>
                <w:rFonts w:ascii="宋体" w:hAnsi="宋体"/>
              </w:rPr>
            </w:pPr>
            <w:r>
              <w:rPr>
                <w:rFonts w:hint="eastAsia" w:ascii="宋体" w:hAnsi="宋体"/>
              </w:rPr>
              <w:t>320,174,450.05</w:t>
            </w:r>
          </w:p>
        </w:tc>
        <w:tc>
          <w:tcPr>
            <w:tcW w:w="1749" w:type="dxa"/>
            <w:shd w:val="clear" w:color="auto" w:fill="auto"/>
            <w:vAlign w:val="center"/>
          </w:tcPr>
          <w:p>
            <w:pPr>
              <w:jc w:val="right"/>
              <w:rPr>
                <w:rFonts w:ascii="宋体" w:hAnsi="宋体"/>
              </w:rPr>
            </w:pPr>
            <w:r>
              <w:rPr>
                <w:rFonts w:hint="eastAsia" w:ascii="宋体" w:hAnsi="宋体"/>
              </w:rPr>
              <w:t>57.39</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rPr>
                <w:rFonts w:ascii="宋体" w:hAnsi="宋体"/>
              </w:rPr>
            </w:pPr>
            <w:r>
              <w:rPr>
                <w:rFonts w:hint="eastAsia" w:ascii="宋体" w:hAnsi="宋体"/>
              </w:rPr>
              <w:t>109,035,817.34</w:t>
            </w:r>
          </w:p>
        </w:tc>
        <w:tc>
          <w:tcPr>
            <w:tcW w:w="1749" w:type="dxa"/>
            <w:shd w:val="clear" w:color="auto" w:fill="auto"/>
            <w:vAlign w:val="center"/>
          </w:tcPr>
          <w:p>
            <w:pPr>
              <w:jc w:val="right"/>
              <w:rPr>
                <w:rFonts w:ascii="宋体" w:hAnsi="宋体"/>
              </w:rPr>
            </w:pPr>
            <w:r>
              <w:rPr>
                <w:rFonts w:hint="eastAsia" w:ascii="宋体" w:hAnsi="宋体"/>
              </w:rPr>
              <w:t>19.54</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rPr>
                <w:rFonts w:ascii="宋体" w:hAnsi="宋体"/>
              </w:rPr>
            </w:pPr>
            <w:r>
              <w:rPr>
                <w:rFonts w:hint="eastAsia" w:ascii="宋体" w:hAnsi="宋体"/>
              </w:rPr>
              <w:t>18,546,473.47</w:t>
            </w:r>
          </w:p>
        </w:tc>
        <w:tc>
          <w:tcPr>
            <w:tcW w:w="1749" w:type="dxa"/>
            <w:shd w:val="clear" w:color="auto" w:fill="auto"/>
            <w:vAlign w:val="center"/>
          </w:tcPr>
          <w:p>
            <w:pPr>
              <w:jc w:val="right"/>
              <w:rPr>
                <w:rFonts w:ascii="宋体" w:hAnsi="宋体"/>
              </w:rPr>
            </w:pPr>
            <w:r>
              <w:rPr>
                <w:rFonts w:hint="eastAsia" w:ascii="宋体" w:hAnsi="宋体"/>
              </w:rPr>
              <w:t>3.32</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rPr>
                <w:rFonts w:ascii="宋体" w:hAnsi="宋体"/>
              </w:rPr>
            </w:pPr>
            <w:r>
              <w:rPr>
                <w:rFonts w:hint="eastAsia" w:ascii="宋体" w:hAnsi="宋体"/>
              </w:rPr>
              <w:t>110,157,690.04</w:t>
            </w:r>
          </w:p>
        </w:tc>
        <w:tc>
          <w:tcPr>
            <w:tcW w:w="1749" w:type="dxa"/>
            <w:shd w:val="clear" w:color="auto" w:fill="auto"/>
            <w:vAlign w:val="center"/>
          </w:tcPr>
          <w:p>
            <w:pPr>
              <w:jc w:val="right"/>
              <w:rPr>
                <w:rFonts w:ascii="宋体" w:hAnsi="宋体"/>
              </w:rPr>
            </w:pPr>
            <w:r>
              <w:rPr>
                <w:rFonts w:hint="eastAsia" w:ascii="宋体" w:hAnsi="宋体"/>
              </w:rPr>
              <w:t>19.74</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vAlign w:val="top"/>
          </w:tcPr>
          <w:p>
            <w:pPr>
              <w:jc w:val="right"/>
              <w:rPr>
                <w:rFonts w:ascii="宋体" w:hAnsi="宋体"/>
              </w:rPr>
            </w:pPr>
            <w:r>
              <w:rPr>
                <w:rFonts w:hint="eastAsia" w:ascii="宋体" w:hAnsi="宋体"/>
              </w:rPr>
              <w:t>557,914,430.90</w:t>
            </w:r>
          </w:p>
        </w:tc>
        <w:tc>
          <w:tcPr>
            <w:tcW w:w="1749" w:type="dxa"/>
            <w:shd w:val="clear" w:color="auto" w:fill="auto"/>
            <w:vAlign w:val="top"/>
          </w:tcPr>
          <w:p>
            <w:pPr>
              <w:jc w:val="right"/>
              <w:rPr>
                <w:rFonts w:ascii="宋体" w:hAnsi="宋体"/>
              </w:rPr>
            </w:pPr>
            <w:r>
              <w:rPr>
                <w:rFonts w:hint="eastAsia" w:ascii="宋体" w:hAnsi="宋体"/>
              </w:rPr>
              <w:t>100.00</w:t>
            </w:r>
          </w:p>
        </w:tc>
        <w:tc>
          <w:tcPr>
            <w:tcW w:w="1653" w:type="dxa"/>
          </w:tcPr>
          <w:p>
            <w:pPr>
              <w:jc w:val="right"/>
              <w:rPr>
                <w:rFonts w:ascii="宋体" w:hAnsi="宋体"/>
              </w:rPr>
            </w:pPr>
            <w:r>
              <w:rPr>
                <w:rFonts w:hint="eastAsia" w:ascii="宋体" w:hAnsi="宋体"/>
              </w:rPr>
              <w:t>0.00</w:t>
            </w:r>
          </w:p>
        </w:tc>
        <w:tc>
          <w:tcPr>
            <w:tcW w:w="1705" w:type="dxa"/>
          </w:tcPr>
          <w:p>
            <w:pPr>
              <w:jc w:val="right"/>
              <w:rPr>
                <w:rFonts w:ascii="宋体" w:hAnsi="宋体"/>
              </w:rPr>
            </w:pPr>
            <w:r>
              <w:rPr>
                <w:rFonts w:hint="eastAsia" w:ascii="宋体" w:hAnsi="宋体"/>
              </w:rPr>
              <w:t>0.00</w:t>
            </w:r>
          </w:p>
        </w:tc>
      </w:tr>
    </w:tbl>
    <w:p>
      <w:pPr>
        <w:jc w:val="right"/>
        <w:rPr>
          <w:rFonts w:hint="eastAsia"/>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spacing w:line="360" w:lineRule="auto"/>
        <w:ind w:right="-107" w:rightChars="-51" w:firstLine="480" w:firstLineChars="200"/>
        <w:jc w:val="left"/>
        <w:rPr>
          <w:rFonts w:ascii="宋体" w:hAnsi="宋体"/>
          <w:szCs w:val="21"/>
        </w:rPr>
      </w:pPr>
      <w:r>
        <w:rPr>
          <w:rFonts w:hint="eastAsia" w:ascii="宋体" w:hAnsi="宋体"/>
          <w:sz w:val="24"/>
        </w:rPr>
        <w:t xml:space="preserve">   </w:t>
      </w:r>
      <w:r>
        <w:rPr>
          <w:rFonts w:hint="eastAsia" w:ascii="宋体" w:hAnsi="宋体"/>
          <w:szCs w:val="21"/>
        </w:rPr>
        <w:t>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jc w:val="left"/>
        <w:rPr>
          <w:rFonts w:asciiTheme="minorEastAsia" w:hAnsiTheme="minorEastAsia" w:eastAsiaTheme="minorEastAsia"/>
          <w:sz w:val="24"/>
        </w:rPr>
      </w:pP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1</w:t>
            </w:r>
          </w:p>
        </w:tc>
        <w:tc>
          <w:tcPr>
            <w:tcW w:w="3159" w:type="dxa"/>
            <w:shd w:val="clear" w:color="auto" w:fill="auto"/>
            <w:vAlign w:val="center"/>
          </w:tcPr>
          <w:p>
            <w:pPr>
              <w:rPr>
                <w:rFonts w:ascii="宋体" w:hAnsi="宋体"/>
                <w:szCs w:val="21"/>
              </w:rPr>
            </w:pPr>
            <w:r>
              <w:rPr>
                <w:rFonts w:ascii="宋体" w:hAnsi="宋体"/>
                <w:szCs w:val="21"/>
              </w:rPr>
              <w:t>GC007</w:t>
            </w:r>
          </w:p>
        </w:tc>
        <w:tc>
          <w:tcPr>
            <w:tcW w:w="2693" w:type="dxa"/>
            <w:shd w:val="clear" w:color="auto" w:fill="auto"/>
            <w:vAlign w:val="center"/>
          </w:tcPr>
          <w:p>
            <w:pPr>
              <w:jc w:val="right"/>
              <w:rPr>
                <w:rFonts w:ascii="宋体" w:hAnsi="宋体"/>
              </w:rPr>
            </w:pPr>
            <w:r>
              <w:rPr>
                <w:rFonts w:ascii="宋体" w:hAnsi="宋体"/>
              </w:rPr>
              <w:t>109,035,817.34</w:t>
            </w:r>
          </w:p>
        </w:tc>
        <w:tc>
          <w:tcPr>
            <w:tcW w:w="2431" w:type="dxa"/>
            <w:shd w:val="clear" w:color="auto" w:fill="auto"/>
            <w:vAlign w:val="center"/>
          </w:tcPr>
          <w:p>
            <w:pPr>
              <w:jc w:val="right"/>
              <w:rPr>
                <w:rFonts w:ascii="宋体" w:hAnsi="宋体"/>
              </w:rPr>
            </w:pPr>
            <w:r>
              <w:rPr>
                <w:rFonts w:ascii="宋体" w:hAnsi="宋体"/>
              </w:rPr>
              <w:t>19.68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2</w:t>
            </w:r>
          </w:p>
        </w:tc>
        <w:tc>
          <w:tcPr>
            <w:tcW w:w="3159" w:type="dxa"/>
            <w:shd w:val="clear" w:color="auto" w:fill="auto"/>
            <w:vAlign w:val="center"/>
          </w:tcPr>
          <w:p>
            <w:pPr>
              <w:rPr>
                <w:rFonts w:ascii="宋体" w:hAnsi="宋体"/>
                <w:szCs w:val="21"/>
              </w:rPr>
            </w:pPr>
            <w:r>
              <w:rPr>
                <w:rFonts w:ascii="宋体" w:hAnsi="宋体"/>
                <w:szCs w:val="21"/>
              </w:rPr>
              <w:t>24上海银行CD234</w:t>
            </w:r>
          </w:p>
        </w:tc>
        <w:tc>
          <w:tcPr>
            <w:tcW w:w="2693" w:type="dxa"/>
            <w:shd w:val="clear" w:color="auto" w:fill="auto"/>
            <w:vAlign w:val="center"/>
          </w:tcPr>
          <w:p>
            <w:pPr>
              <w:jc w:val="right"/>
              <w:rPr>
                <w:rFonts w:ascii="宋体" w:hAnsi="宋体"/>
              </w:rPr>
            </w:pPr>
            <w:r>
              <w:rPr>
                <w:rFonts w:ascii="宋体" w:hAnsi="宋体"/>
              </w:rPr>
              <w:t>54,955,680.65</w:t>
            </w:r>
          </w:p>
        </w:tc>
        <w:tc>
          <w:tcPr>
            <w:tcW w:w="2431" w:type="dxa"/>
            <w:shd w:val="clear" w:color="auto" w:fill="auto"/>
            <w:vAlign w:val="center"/>
          </w:tcPr>
          <w:p>
            <w:pPr>
              <w:jc w:val="right"/>
              <w:rPr>
                <w:rFonts w:ascii="宋体" w:hAnsi="宋体"/>
              </w:rPr>
            </w:pPr>
            <w:r>
              <w:rPr>
                <w:rFonts w:ascii="宋体" w:hAnsi="宋体"/>
              </w:rPr>
              <w:t>9.92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3</w:t>
            </w:r>
          </w:p>
        </w:tc>
        <w:tc>
          <w:tcPr>
            <w:tcW w:w="3159" w:type="dxa"/>
            <w:shd w:val="clear" w:color="auto" w:fill="auto"/>
            <w:vAlign w:val="center"/>
          </w:tcPr>
          <w:p>
            <w:pPr>
              <w:rPr>
                <w:rFonts w:ascii="宋体" w:hAnsi="宋体"/>
                <w:szCs w:val="21"/>
              </w:rPr>
            </w:pPr>
            <w:r>
              <w:rPr>
                <w:rFonts w:ascii="宋体" w:hAnsi="宋体"/>
                <w:szCs w:val="21"/>
              </w:rPr>
              <w:t>24成都开投PPN002</w:t>
            </w:r>
          </w:p>
        </w:tc>
        <w:tc>
          <w:tcPr>
            <w:tcW w:w="2693" w:type="dxa"/>
            <w:shd w:val="clear" w:color="auto" w:fill="auto"/>
            <w:vAlign w:val="center"/>
          </w:tcPr>
          <w:p>
            <w:pPr>
              <w:jc w:val="right"/>
              <w:rPr>
                <w:rFonts w:ascii="宋体" w:hAnsi="宋体"/>
              </w:rPr>
            </w:pPr>
            <w:r>
              <w:rPr>
                <w:rFonts w:ascii="宋体" w:hAnsi="宋体"/>
              </w:rPr>
              <w:t>31,191,000.00</w:t>
            </w:r>
          </w:p>
        </w:tc>
        <w:tc>
          <w:tcPr>
            <w:tcW w:w="2431" w:type="dxa"/>
            <w:shd w:val="clear" w:color="auto" w:fill="auto"/>
            <w:vAlign w:val="center"/>
          </w:tcPr>
          <w:p>
            <w:pPr>
              <w:jc w:val="right"/>
              <w:rPr>
                <w:rFonts w:ascii="宋体" w:hAnsi="宋体"/>
              </w:rPr>
            </w:pPr>
            <w:r>
              <w:rPr>
                <w:rFonts w:ascii="宋体" w:hAnsi="宋体"/>
              </w:rPr>
              <w:t>5.63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4</w:t>
            </w:r>
          </w:p>
        </w:tc>
        <w:tc>
          <w:tcPr>
            <w:tcW w:w="3159" w:type="dxa"/>
            <w:shd w:val="clear" w:color="auto" w:fill="auto"/>
            <w:vAlign w:val="center"/>
          </w:tcPr>
          <w:p>
            <w:pPr>
              <w:rPr>
                <w:rFonts w:ascii="宋体" w:hAnsi="宋体"/>
                <w:szCs w:val="21"/>
              </w:rPr>
            </w:pPr>
            <w:r>
              <w:rPr>
                <w:rFonts w:ascii="宋体" w:hAnsi="宋体"/>
                <w:szCs w:val="21"/>
              </w:rPr>
              <w:t>24乐高01</w:t>
            </w:r>
          </w:p>
        </w:tc>
        <w:tc>
          <w:tcPr>
            <w:tcW w:w="2693" w:type="dxa"/>
            <w:shd w:val="clear" w:color="auto" w:fill="auto"/>
            <w:vAlign w:val="center"/>
          </w:tcPr>
          <w:p>
            <w:pPr>
              <w:jc w:val="right"/>
              <w:rPr>
                <w:rFonts w:ascii="宋体" w:hAnsi="宋体"/>
              </w:rPr>
            </w:pPr>
            <w:r>
              <w:rPr>
                <w:rFonts w:ascii="宋体" w:hAnsi="宋体"/>
              </w:rPr>
              <w:t>25,156,438.36</w:t>
            </w:r>
          </w:p>
        </w:tc>
        <w:tc>
          <w:tcPr>
            <w:tcW w:w="2431" w:type="dxa"/>
            <w:shd w:val="clear" w:color="auto" w:fill="auto"/>
            <w:vAlign w:val="center"/>
          </w:tcPr>
          <w:p>
            <w:pPr>
              <w:jc w:val="right"/>
              <w:rPr>
                <w:rFonts w:ascii="宋体" w:hAnsi="宋体"/>
              </w:rPr>
            </w:pPr>
            <w:r>
              <w:rPr>
                <w:rFonts w:ascii="宋体" w:hAnsi="宋体"/>
              </w:rPr>
              <w:t>4.54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5</w:t>
            </w:r>
          </w:p>
        </w:tc>
        <w:tc>
          <w:tcPr>
            <w:tcW w:w="3159" w:type="dxa"/>
            <w:shd w:val="clear" w:color="auto" w:fill="auto"/>
            <w:vAlign w:val="center"/>
          </w:tcPr>
          <w:p>
            <w:pPr>
              <w:rPr>
                <w:rFonts w:ascii="宋体" w:hAnsi="宋体"/>
                <w:szCs w:val="21"/>
              </w:rPr>
            </w:pPr>
            <w:r>
              <w:rPr>
                <w:rFonts w:ascii="宋体" w:hAnsi="宋体"/>
                <w:szCs w:val="21"/>
              </w:rPr>
              <w:t>24西汇投资PPN001</w:t>
            </w:r>
          </w:p>
        </w:tc>
        <w:tc>
          <w:tcPr>
            <w:tcW w:w="2693" w:type="dxa"/>
            <w:shd w:val="clear" w:color="auto" w:fill="auto"/>
            <w:vAlign w:val="center"/>
          </w:tcPr>
          <w:p>
            <w:pPr>
              <w:jc w:val="right"/>
              <w:rPr>
                <w:rFonts w:ascii="宋体" w:hAnsi="宋体"/>
              </w:rPr>
            </w:pPr>
            <w:r>
              <w:rPr>
                <w:rFonts w:ascii="宋体" w:hAnsi="宋体"/>
              </w:rPr>
              <w:t>20,475,545.21</w:t>
            </w:r>
          </w:p>
        </w:tc>
        <w:tc>
          <w:tcPr>
            <w:tcW w:w="2431" w:type="dxa"/>
            <w:shd w:val="clear" w:color="auto" w:fill="auto"/>
            <w:vAlign w:val="center"/>
          </w:tcPr>
          <w:p>
            <w:pPr>
              <w:jc w:val="right"/>
              <w:rPr>
                <w:rFonts w:ascii="宋体" w:hAnsi="宋体"/>
              </w:rPr>
            </w:pPr>
            <w:r>
              <w:rPr>
                <w:rFonts w:ascii="宋体" w:hAnsi="宋体"/>
              </w:rPr>
              <w:t>3.70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6</w:t>
            </w:r>
          </w:p>
        </w:tc>
        <w:tc>
          <w:tcPr>
            <w:tcW w:w="3159" w:type="dxa"/>
            <w:shd w:val="clear" w:color="auto" w:fill="auto"/>
            <w:vAlign w:val="center"/>
          </w:tcPr>
          <w:p>
            <w:pPr>
              <w:rPr>
                <w:rFonts w:ascii="宋体" w:hAnsi="宋体"/>
                <w:szCs w:val="21"/>
              </w:rPr>
            </w:pPr>
            <w:r>
              <w:rPr>
                <w:rFonts w:ascii="宋体" w:hAnsi="宋体"/>
                <w:szCs w:val="21"/>
              </w:rPr>
              <w:t>24邛崃建投PPN001</w:t>
            </w:r>
          </w:p>
        </w:tc>
        <w:tc>
          <w:tcPr>
            <w:tcW w:w="2693" w:type="dxa"/>
            <w:shd w:val="clear" w:color="auto" w:fill="auto"/>
            <w:vAlign w:val="center"/>
          </w:tcPr>
          <w:p>
            <w:pPr>
              <w:jc w:val="right"/>
              <w:rPr>
                <w:rFonts w:ascii="宋体" w:hAnsi="宋体"/>
              </w:rPr>
            </w:pPr>
            <w:r>
              <w:rPr>
                <w:rFonts w:ascii="宋体" w:hAnsi="宋体"/>
              </w:rPr>
              <w:t>20,424,471.23</w:t>
            </w:r>
          </w:p>
        </w:tc>
        <w:tc>
          <w:tcPr>
            <w:tcW w:w="2431" w:type="dxa"/>
            <w:shd w:val="clear" w:color="auto" w:fill="auto"/>
            <w:vAlign w:val="center"/>
          </w:tcPr>
          <w:p>
            <w:pPr>
              <w:jc w:val="right"/>
              <w:rPr>
                <w:rFonts w:ascii="宋体" w:hAnsi="宋体"/>
              </w:rPr>
            </w:pPr>
            <w:r>
              <w:rPr>
                <w:rFonts w:ascii="宋体" w:hAnsi="宋体"/>
              </w:rPr>
              <w:t>3.69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7</w:t>
            </w:r>
          </w:p>
        </w:tc>
        <w:tc>
          <w:tcPr>
            <w:tcW w:w="3159" w:type="dxa"/>
            <w:shd w:val="clear" w:color="auto" w:fill="auto"/>
            <w:vAlign w:val="center"/>
          </w:tcPr>
          <w:p>
            <w:pPr>
              <w:rPr>
                <w:rFonts w:ascii="宋体" w:hAnsi="宋体"/>
                <w:szCs w:val="21"/>
              </w:rPr>
            </w:pPr>
            <w:r>
              <w:rPr>
                <w:rFonts w:ascii="宋体" w:hAnsi="宋体"/>
                <w:szCs w:val="21"/>
              </w:rPr>
              <w:t>24新津城乡PPN001B</w:t>
            </w:r>
          </w:p>
        </w:tc>
        <w:tc>
          <w:tcPr>
            <w:tcW w:w="2693" w:type="dxa"/>
            <w:shd w:val="clear" w:color="auto" w:fill="auto"/>
            <w:vAlign w:val="center"/>
          </w:tcPr>
          <w:p>
            <w:pPr>
              <w:jc w:val="right"/>
              <w:rPr>
                <w:rFonts w:ascii="宋体" w:hAnsi="宋体"/>
              </w:rPr>
            </w:pPr>
            <w:r>
              <w:rPr>
                <w:rFonts w:ascii="宋体" w:hAnsi="宋体"/>
              </w:rPr>
              <w:t>17,357,209.59</w:t>
            </w:r>
          </w:p>
        </w:tc>
        <w:tc>
          <w:tcPr>
            <w:tcW w:w="2431" w:type="dxa"/>
            <w:shd w:val="clear" w:color="auto" w:fill="auto"/>
            <w:vAlign w:val="center"/>
          </w:tcPr>
          <w:p>
            <w:pPr>
              <w:jc w:val="right"/>
              <w:rPr>
                <w:rFonts w:ascii="宋体" w:hAnsi="宋体"/>
              </w:rPr>
            </w:pPr>
            <w:r>
              <w:rPr>
                <w:rFonts w:ascii="宋体" w:hAnsi="宋体"/>
              </w:rPr>
              <w:t>3.13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8</w:t>
            </w:r>
          </w:p>
        </w:tc>
        <w:tc>
          <w:tcPr>
            <w:tcW w:w="3159" w:type="dxa"/>
            <w:shd w:val="clear" w:color="auto" w:fill="auto"/>
            <w:vAlign w:val="center"/>
          </w:tcPr>
          <w:p>
            <w:pPr>
              <w:rPr>
                <w:rFonts w:ascii="宋体" w:hAnsi="宋体"/>
                <w:szCs w:val="21"/>
              </w:rPr>
            </w:pPr>
            <w:r>
              <w:rPr>
                <w:rFonts w:ascii="宋体" w:hAnsi="宋体"/>
                <w:szCs w:val="21"/>
              </w:rPr>
              <w:t>24兴蜀投资PPN001</w:t>
            </w:r>
          </w:p>
        </w:tc>
        <w:tc>
          <w:tcPr>
            <w:tcW w:w="2693" w:type="dxa"/>
            <w:shd w:val="clear" w:color="auto" w:fill="auto"/>
            <w:vAlign w:val="center"/>
          </w:tcPr>
          <w:p>
            <w:pPr>
              <w:jc w:val="right"/>
              <w:rPr>
                <w:rFonts w:ascii="宋体" w:hAnsi="宋体"/>
              </w:rPr>
            </w:pPr>
            <w:r>
              <w:rPr>
                <w:rFonts w:ascii="宋体" w:hAnsi="宋体"/>
              </w:rPr>
              <w:t>15,352,853.42</w:t>
            </w:r>
          </w:p>
        </w:tc>
        <w:tc>
          <w:tcPr>
            <w:tcW w:w="2431" w:type="dxa"/>
            <w:shd w:val="clear" w:color="auto" w:fill="auto"/>
            <w:vAlign w:val="center"/>
          </w:tcPr>
          <w:p>
            <w:pPr>
              <w:jc w:val="right"/>
              <w:rPr>
                <w:rFonts w:ascii="宋体" w:hAnsi="宋体"/>
              </w:rPr>
            </w:pPr>
            <w:r>
              <w:rPr>
                <w:rFonts w:ascii="宋体" w:hAnsi="宋体"/>
              </w:rPr>
              <w:t>2.77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9</w:t>
            </w:r>
          </w:p>
        </w:tc>
        <w:tc>
          <w:tcPr>
            <w:tcW w:w="3159" w:type="dxa"/>
            <w:shd w:val="clear" w:color="auto" w:fill="auto"/>
            <w:vAlign w:val="center"/>
          </w:tcPr>
          <w:p>
            <w:pPr>
              <w:rPr>
                <w:rFonts w:ascii="宋体" w:hAnsi="宋体"/>
                <w:szCs w:val="21"/>
              </w:rPr>
            </w:pPr>
            <w:r>
              <w:rPr>
                <w:rFonts w:ascii="宋体" w:hAnsi="宋体"/>
                <w:szCs w:val="21"/>
              </w:rPr>
              <w:t>24浙江泰隆商行CD018</w:t>
            </w:r>
          </w:p>
        </w:tc>
        <w:tc>
          <w:tcPr>
            <w:tcW w:w="2693" w:type="dxa"/>
            <w:shd w:val="clear" w:color="auto" w:fill="auto"/>
            <w:vAlign w:val="center"/>
          </w:tcPr>
          <w:p>
            <w:pPr>
              <w:jc w:val="right"/>
              <w:rPr>
                <w:rFonts w:ascii="宋体" w:hAnsi="宋体"/>
              </w:rPr>
            </w:pPr>
            <w:r>
              <w:rPr>
                <w:rFonts w:ascii="宋体" w:hAnsi="宋体"/>
              </w:rPr>
              <w:t>14,925,198.16</w:t>
            </w:r>
          </w:p>
        </w:tc>
        <w:tc>
          <w:tcPr>
            <w:tcW w:w="2431" w:type="dxa"/>
            <w:shd w:val="clear" w:color="auto" w:fill="auto"/>
            <w:vAlign w:val="center"/>
          </w:tcPr>
          <w:p>
            <w:pPr>
              <w:jc w:val="right"/>
              <w:rPr>
                <w:rFonts w:ascii="宋体" w:hAnsi="宋体"/>
              </w:rPr>
            </w:pPr>
            <w:r>
              <w:rPr>
                <w:rFonts w:ascii="宋体" w:hAnsi="宋体"/>
              </w:rPr>
              <w:t>2.69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10</w:t>
            </w:r>
          </w:p>
        </w:tc>
        <w:tc>
          <w:tcPr>
            <w:tcW w:w="3159" w:type="dxa"/>
            <w:shd w:val="clear" w:color="auto" w:fill="auto"/>
            <w:vAlign w:val="center"/>
          </w:tcPr>
          <w:p>
            <w:pPr>
              <w:rPr>
                <w:rFonts w:ascii="宋体" w:hAnsi="宋体"/>
                <w:szCs w:val="21"/>
              </w:rPr>
            </w:pPr>
            <w:r>
              <w:rPr>
                <w:rFonts w:ascii="宋体" w:hAnsi="宋体"/>
                <w:szCs w:val="21"/>
              </w:rPr>
              <w:t>24东坡01</w:t>
            </w:r>
          </w:p>
        </w:tc>
        <w:tc>
          <w:tcPr>
            <w:tcW w:w="2693" w:type="dxa"/>
            <w:shd w:val="clear" w:color="auto" w:fill="auto"/>
            <w:vAlign w:val="center"/>
          </w:tcPr>
          <w:p>
            <w:pPr>
              <w:jc w:val="right"/>
              <w:rPr>
                <w:rFonts w:ascii="宋体" w:hAnsi="宋体"/>
              </w:rPr>
            </w:pPr>
            <w:r>
              <w:rPr>
                <w:rFonts w:ascii="宋体" w:hAnsi="宋体"/>
              </w:rPr>
              <w:t>12,048,542.47</w:t>
            </w:r>
          </w:p>
        </w:tc>
        <w:tc>
          <w:tcPr>
            <w:tcW w:w="2431" w:type="dxa"/>
            <w:shd w:val="clear" w:color="auto" w:fill="auto"/>
            <w:vAlign w:val="center"/>
          </w:tcPr>
          <w:p>
            <w:pPr>
              <w:jc w:val="right"/>
              <w:rPr>
                <w:rFonts w:ascii="宋体" w:hAnsi="宋体"/>
              </w:rPr>
            </w:pPr>
            <w:bookmarkStart w:id="3" w:name="OLE_LINK6"/>
            <w:bookmarkStart w:id="4" w:name="OLE_LINK5"/>
            <w:r>
              <w:rPr>
                <w:rFonts w:ascii="宋体" w:hAnsi="宋体"/>
              </w:rPr>
              <w:t>2.17</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注：前十项资产明细仅包含证券投资、场外投资，不包含银行存款、存出保证金、清算备付金等资产。</w:t>
      </w:r>
    </w:p>
    <w:p>
      <w:pPr>
        <w:pStyle w:val="40"/>
        <w:rPr>
          <w:highlight w:val="none"/>
        </w:rPr>
      </w:pPr>
      <w:r>
        <w:rPr>
          <w:highlight w:val="none"/>
        </w:rPr>
        <w:t>托管人报告</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1</w:t>
      </w:r>
      <w:r>
        <w:rPr>
          <w:rFonts w:hint="eastAsia" w:ascii="宋体" w:hAnsi="宋体"/>
          <w:szCs w:val="21"/>
          <w:highlight w:val="none"/>
        </w:rPr>
        <w:t>）托管资产保管</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托管资产独立于</w:t>
      </w:r>
      <w:r>
        <w:rPr>
          <w:rFonts w:hint="eastAsia" w:ascii="宋体" w:hAnsi="宋体"/>
          <w:szCs w:val="21"/>
          <w:highlight w:val="none"/>
          <w:lang w:val="en-US" w:eastAsia="zh-CN"/>
        </w:rPr>
        <w:t>招商银行</w:t>
      </w:r>
      <w:r>
        <w:rPr>
          <w:rFonts w:hint="eastAsia" w:ascii="宋体" w:hAnsi="宋体"/>
          <w:szCs w:val="21"/>
          <w:highlight w:val="none"/>
        </w:rPr>
        <w:t>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2</w:t>
      </w:r>
      <w:r>
        <w:rPr>
          <w:rFonts w:hint="eastAsia" w:ascii="宋体" w:hAnsi="宋体"/>
          <w:szCs w:val="21"/>
          <w:highlight w:val="none"/>
        </w:rPr>
        <w:t>）会计核算和估值</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我行按照与四川银行股份有限公司在托管协议中约定的统一记账方法和会计处理原则，独立地设置、登录和保管本产品的全套账册，进行会计核算和资产估值。</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3</w:t>
      </w:r>
      <w:r>
        <w:rPr>
          <w:rFonts w:hint="eastAsia" w:ascii="宋体" w:hAnsi="宋体"/>
          <w:szCs w:val="21"/>
          <w:highlight w:val="none"/>
        </w:rPr>
        <w:t>）定期核对有关数据</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我行根据托管协议约定与四川银行股份有限公司定期进行账务核对。</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4</w:t>
      </w:r>
      <w:r>
        <w:rPr>
          <w:rFonts w:hint="eastAsia" w:ascii="宋体" w:hAnsi="宋体"/>
          <w:szCs w:val="21"/>
          <w:highlight w:val="none"/>
        </w:rPr>
        <w:t>）投资监督</w:t>
      </w:r>
    </w:p>
    <w:p>
      <w:pPr>
        <w:spacing w:line="360" w:lineRule="auto"/>
        <w:ind w:right="-107" w:rightChars="-51" w:firstLine="420" w:firstLineChars="200"/>
        <w:jc w:val="left"/>
        <w:rPr>
          <w:rFonts w:hint="eastAsia" w:ascii="宋体" w:hAnsi="宋体"/>
          <w:szCs w:val="21"/>
          <w:highlight w:val="none"/>
        </w:rPr>
      </w:pPr>
      <w:r>
        <w:rPr>
          <w:rFonts w:hint="eastAsia" w:ascii="宋体" w:hAnsi="宋体"/>
          <w:szCs w:val="21"/>
          <w:highlight w:val="none"/>
          <w:lang w:val="en-US" w:eastAsia="zh-CN"/>
        </w:rPr>
        <w:t>招商银行</w:t>
      </w:r>
      <w:r>
        <w:rPr>
          <w:rFonts w:hint="eastAsia" w:ascii="宋体" w:hAnsi="宋体"/>
          <w:szCs w:val="21"/>
          <w:highlight w:val="none"/>
        </w:rPr>
        <w:t>根据法规、托管协议以及双方约定的投资监督条款，对投资运作情况进行监督。</w:t>
      </w:r>
    </w:p>
    <w:p>
      <w:pPr>
        <w:spacing w:line="360" w:lineRule="auto"/>
        <w:ind w:right="-107" w:rightChars="-51" w:firstLine="420" w:firstLineChars="200"/>
        <w:jc w:val="left"/>
        <w:rPr>
          <w:rFonts w:hint="eastAsia" w:ascii="宋体" w:hAnsi="宋体"/>
          <w:szCs w:val="21"/>
          <w:highlight w:val="none"/>
        </w:rPr>
      </w:pPr>
      <w:r>
        <w:rPr>
          <w:rFonts w:hint="eastAsia" w:ascii="宋体" w:hAnsi="宋体"/>
          <w:szCs w:val="21"/>
          <w:highlight w:val="none"/>
        </w:rPr>
        <w:t>托管人声明：</w:t>
      </w:r>
      <w:r>
        <w:rPr>
          <w:rFonts w:hint="eastAsia" w:ascii="宋体" w:hAnsi="宋体"/>
          <w:szCs w:val="21"/>
          <w:highlight w:val="none"/>
          <w:lang w:val="en-US" w:eastAsia="zh-CN"/>
        </w:rPr>
        <w:t>招商银行</w:t>
      </w:r>
      <w:r>
        <w:rPr>
          <w:rFonts w:hint="eastAsia" w:ascii="宋体" w:hAnsi="宋体"/>
          <w:szCs w:val="21"/>
          <w:highlight w:val="none"/>
        </w:rPr>
        <w:t>具备完善的公司治理结构、内部稽核监控制度和风险控制制度，我行在</w:t>
      </w:r>
    </w:p>
    <w:p>
      <w:pPr>
        <w:spacing w:line="360" w:lineRule="auto"/>
        <w:ind w:right="-107" w:rightChars="-51"/>
        <w:jc w:val="left"/>
        <w:rPr>
          <w:rFonts w:ascii="宋体" w:hAnsi="宋体"/>
          <w:szCs w:val="21"/>
          <w:highlight w:val="none"/>
        </w:rPr>
      </w:pPr>
      <w:r>
        <w:rPr>
          <w:rFonts w:hint="eastAsia" w:ascii="宋体" w:hAnsi="宋体"/>
          <w:szCs w:val="21"/>
          <w:highlight w:val="none"/>
        </w:rPr>
        <w:t>四川银行定开系列6个月3号净值型理财产品托管的过程中，严格遵守有关法律法规、托管协议的规定，尽职尽责地履行托管义务并安全保管托管资产。</w:t>
      </w:r>
    </w:p>
    <w:p>
      <w:pPr>
        <w:pStyle w:val="40"/>
        <w:rPr>
          <w:highlight w:val="none"/>
        </w:rPr>
      </w:pPr>
      <w:r>
        <w:rPr>
          <w:rFonts w:hint="eastAsia"/>
          <w:highlight w:val="none"/>
          <w:lang w:val="en-US"/>
        </w:rPr>
        <w:t>关联交易情况说明</w:t>
      </w:r>
      <w:bookmarkStart w:id="5" w:name="_GoBack"/>
      <w:bookmarkEnd w:id="5"/>
    </w:p>
    <w:p>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2025-03-31</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54BC"/>
    <w:rsid w:val="000957D7"/>
    <w:rsid w:val="00096252"/>
    <w:rsid w:val="000A0247"/>
    <w:rsid w:val="000A1C35"/>
    <w:rsid w:val="000B049B"/>
    <w:rsid w:val="000B12F7"/>
    <w:rsid w:val="000B65EC"/>
    <w:rsid w:val="000C0357"/>
    <w:rsid w:val="000C5B47"/>
    <w:rsid w:val="000D078C"/>
    <w:rsid w:val="000D4CEA"/>
    <w:rsid w:val="000D5DDE"/>
    <w:rsid w:val="000E103E"/>
    <w:rsid w:val="000E2280"/>
    <w:rsid w:val="000E5BF4"/>
    <w:rsid w:val="000E7303"/>
    <w:rsid w:val="000E7594"/>
    <w:rsid w:val="000E7EE4"/>
    <w:rsid w:val="000F1CA3"/>
    <w:rsid w:val="000F1EB8"/>
    <w:rsid w:val="000F79B4"/>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9201F"/>
    <w:rsid w:val="00196688"/>
    <w:rsid w:val="001A6A60"/>
    <w:rsid w:val="001A6DCE"/>
    <w:rsid w:val="001B0D81"/>
    <w:rsid w:val="001B2258"/>
    <w:rsid w:val="001B3575"/>
    <w:rsid w:val="001B43F0"/>
    <w:rsid w:val="001C4ACD"/>
    <w:rsid w:val="001C5999"/>
    <w:rsid w:val="001D364E"/>
    <w:rsid w:val="001E1A37"/>
    <w:rsid w:val="001E27AF"/>
    <w:rsid w:val="001E2A08"/>
    <w:rsid w:val="001E4B7A"/>
    <w:rsid w:val="001E7354"/>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85198"/>
    <w:rsid w:val="0028673C"/>
    <w:rsid w:val="00291837"/>
    <w:rsid w:val="00293CED"/>
    <w:rsid w:val="002A1060"/>
    <w:rsid w:val="002A6967"/>
    <w:rsid w:val="002B18D0"/>
    <w:rsid w:val="002B1BF7"/>
    <w:rsid w:val="002B2425"/>
    <w:rsid w:val="002B5C75"/>
    <w:rsid w:val="002B6AB0"/>
    <w:rsid w:val="002B6D92"/>
    <w:rsid w:val="002C0D52"/>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70E3"/>
    <w:rsid w:val="003217E4"/>
    <w:rsid w:val="003245FC"/>
    <w:rsid w:val="003350C8"/>
    <w:rsid w:val="00336953"/>
    <w:rsid w:val="0034174F"/>
    <w:rsid w:val="00347E59"/>
    <w:rsid w:val="0035009E"/>
    <w:rsid w:val="00351099"/>
    <w:rsid w:val="00352670"/>
    <w:rsid w:val="0035379B"/>
    <w:rsid w:val="003545C4"/>
    <w:rsid w:val="00354AB0"/>
    <w:rsid w:val="00355F58"/>
    <w:rsid w:val="00362921"/>
    <w:rsid w:val="003629D6"/>
    <w:rsid w:val="0036621F"/>
    <w:rsid w:val="00370236"/>
    <w:rsid w:val="00370D1C"/>
    <w:rsid w:val="0037107A"/>
    <w:rsid w:val="0037163C"/>
    <w:rsid w:val="00372961"/>
    <w:rsid w:val="00373861"/>
    <w:rsid w:val="0037574C"/>
    <w:rsid w:val="00380B72"/>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15C27"/>
    <w:rsid w:val="004169FD"/>
    <w:rsid w:val="00420876"/>
    <w:rsid w:val="0042283D"/>
    <w:rsid w:val="004332EF"/>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B6EF6"/>
    <w:rsid w:val="004C126D"/>
    <w:rsid w:val="004C2C74"/>
    <w:rsid w:val="004C439A"/>
    <w:rsid w:val="004C56A8"/>
    <w:rsid w:val="004C689C"/>
    <w:rsid w:val="004D2B6B"/>
    <w:rsid w:val="004D2D2A"/>
    <w:rsid w:val="004E2CFE"/>
    <w:rsid w:val="004E344E"/>
    <w:rsid w:val="004E4E80"/>
    <w:rsid w:val="004E53DD"/>
    <w:rsid w:val="004F50D0"/>
    <w:rsid w:val="004F55AB"/>
    <w:rsid w:val="004F5803"/>
    <w:rsid w:val="004F64A1"/>
    <w:rsid w:val="00500777"/>
    <w:rsid w:val="00501D92"/>
    <w:rsid w:val="00503B75"/>
    <w:rsid w:val="005066A6"/>
    <w:rsid w:val="00511DB9"/>
    <w:rsid w:val="00513688"/>
    <w:rsid w:val="00513763"/>
    <w:rsid w:val="00524F71"/>
    <w:rsid w:val="00527A49"/>
    <w:rsid w:val="005310A6"/>
    <w:rsid w:val="0053595B"/>
    <w:rsid w:val="00537901"/>
    <w:rsid w:val="00540DE6"/>
    <w:rsid w:val="00542A91"/>
    <w:rsid w:val="0054387B"/>
    <w:rsid w:val="005465B6"/>
    <w:rsid w:val="00554065"/>
    <w:rsid w:val="00555D8D"/>
    <w:rsid w:val="00560EAF"/>
    <w:rsid w:val="00572059"/>
    <w:rsid w:val="00573E83"/>
    <w:rsid w:val="005775FA"/>
    <w:rsid w:val="00583550"/>
    <w:rsid w:val="00591622"/>
    <w:rsid w:val="005947ED"/>
    <w:rsid w:val="00596277"/>
    <w:rsid w:val="005B6C71"/>
    <w:rsid w:val="005C208D"/>
    <w:rsid w:val="005C6300"/>
    <w:rsid w:val="005D0C97"/>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5902"/>
    <w:rsid w:val="006664D5"/>
    <w:rsid w:val="00667447"/>
    <w:rsid w:val="0067267E"/>
    <w:rsid w:val="00675178"/>
    <w:rsid w:val="006761C2"/>
    <w:rsid w:val="006771FF"/>
    <w:rsid w:val="00682943"/>
    <w:rsid w:val="00683D3B"/>
    <w:rsid w:val="006876F4"/>
    <w:rsid w:val="00692A30"/>
    <w:rsid w:val="00693EF1"/>
    <w:rsid w:val="00697DB7"/>
    <w:rsid w:val="006A307A"/>
    <w:rsid w:val="006B0B91"/>
    <w:rsid w:val="006B24E7"/>
    <w:rsid w:val="006B554E"/>
    <w:rsid w:val="006B5B87"/>
    <w:rsid w:val="006C21A8"/>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710F9C"/>
    <w:rsid w:val="00711860"/>
    <w:rsid w:val="00714D1B"/>
    <w:rsid w:val="00717029"/>
    <w:rsid w:val="00720312"/>
    <w:rsid w:val="0072202C"/>
    <w:rsid w:val="0072288E"/>
    <w:rsid w:val="00730BF8"/>
    <w:rsid w:val="007313AE"/>
    <w:rsid w:val="0073667E"/>
    <w:rsid w:val="00740012"/>
    <w:rsid w:val="00741F34"/>
    <w:rsid w:val="00745B3A"/>
    <w:rsid w:val="0074780F"/>
    <w:rsid w:val="007502BB"/>
    <w:rsid w:val="007520B7"/>
    <w:rsid w:val="00752D2E"/>
    <w:rsid w:val="007539EE"/>
    <w:rsid w:val="00756CFF"/>
    <w:rsid w:val="00762F4A"/>
    <w:rsid w:val="007633CA"/>
    <w:rsid w:val="007663F0"/>
    <w:rsid w:val="00774DB3"/>
    <w:rsid w:val="00777511"/>
    <w:rsid w:val="00782BD3"/>
    <w:rsid w:val="00783A2D"/>
    <w:rsid w:val="0078701B"/>
    <w:rsid w:val="0079003D"/>
    <w:rsid w:val="00790F54"/>
    <w:rsid w:val="0079349C"/>
    <w:rsid w:val="007957D3"/>
    <w:rsid w:val="007A41FE"/>
    <w:rsid w:val="007A4FF1"/>
    <w:rsid w:val="007A5C4C"/>
    <w:rsid w:val="007A6008"/>
    <w:rsid w:val="007A66E8"/>
    <w:rsid w:val="007A67A8"/>
    <w:rsid w:val="007A6D6E"/>
    <w:rsid w:val="007C00B5"/>
    <w:rsid w:val="007C271F"/>
    <w:rsid w:val="007D4695"/>
    <w:rsid w:val="007D5F69"/>
    <w:rsid w:val="007D7D2D"/>
    <w:rsid w:val="007E24A8"/>
    <w:rsid w:val="007E6BBB"/>
    <w:rsid w:val="007F261A"/>
    <w:rsid w:val="007F4389"/>
    <w:rsid w:val="00805841"/>
    <w:rsid w:val="008067E9"/>
    <w:rsid w:val="008138C2"/>
    <w:rsid w:val="008207FC"/>
    <w:rsid w:val="00824A1A"/>
    <w:rsid w:val="0082723D"/>
    <w:rsid w:val="00830FB1"/>
    <w:rsid w:val="008318D4"/>
    <w:rsid w:val="00835C56"/>
    <w:rsid w:val="00835F60"/>
    <w:rsid w:val="0083628C"/>
    <w:rsid w:val="00840509"/>
    <w:rsid w:val="00840E2A"/>
    <w:rsid w:val="00841B85"/>
    <w:rsid w:val="0084484A"/>
    <w:rsid w:val="00845EAD"/>
    <w:rsid w:val="008509BD"/>
    <w:rsid w:val="008518FE"/>
    <w:rsid w:val="008631C4"/>
    <w:rsid w:val="00863246"/>
    <w:rsid w:val="008647E2"/>
    <w:rsid w:val="00865A3B"/>
    <w:rsid w:val="00867C1C"/>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200D9"/>
    <w:rsid w:val="00924290"/>
    <w:rsid w:val="0093136C"/>
    <w:rsid w:val="009361E0"/>
    <w:rsid w:val="00940851"/>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F30"/>
    <w:rsid w:val="009E7949"/>
    <w:rsid w:val="009F1173"/>
    <w:rsid w:val="009F2CE7"/>
    <w:rsid w:val="009F6300"/>
    <w:rsid w:val="00A03DAA"/>
    <w:rsid w:val="00A053A7"/>
    <w:rsid w:val="00A07072"/>
    <w:rsid w:val="00A1398C"/>
    <w:rsid w:val="00A16209"/>
    <w:rsid w:val="00A179D8"/>
    <w:rsid w:val="00A17F78"/>
    <w:rsid w:val="00A217B1"/>
    <w:rsid w:val="00A226D6"/>
    <w:rsid w:val="00A326C7"/>
    <w:rsid w:val="00A34E4F"/>
    <w:rsid w:val="00A36005"/>
    <w:rsid w:val="00A36F6E"/>
    <w:rsid w:val="00A40FDD"/>
    <w:rsid w:val="00A43B1A"/>
    <w:rsid w:val="00A476E2"/>
    <w:rsid w:val="00A52E27"/>
    <w:rsid w:val="00A66B88"/>
    <w:rsid w:val="00A7059A"/>
    <w:rsid w:val="00A73CCB"/>
    <w:rsid w:val="00A754BF"/>
    <w:rsid w:val="00A80900"/>
    <w:rsid w:val="00A9256F"/>
    <w:rsid w:val="00A94073"/>
    <w:rsid w:val="00A95724"/>
    <w:rsid w:val="00A97609"/>
    <w:rsid w:val="00AA0964"/>
    <w:rsid w:val="00AA0D73"/>
    <w:rsid w:val="00AB0553"/>
    <w:rsid w:val="00AB7F1E"/>
    <w:rsid w:val="00AC0253"/>
    <w:rsid w:val="00AC760B"/>
    <w:rsid w:val="00AD0E90"/>
    <w:rsid w:val="00AD267E"/>
    <w:rsid w:val="00AD5950"/>
    <w:rsid w:val="00AE7B09"/>
    <w:rsid w:val="00AF4B02"/>
    <w:rsid w:val="00AF5C38"/>
    <w:rsid w:val="00B01D6A"/>
    <w:rsid w:val="00B0308C"/>
    <w:rsid w:val="00B10E2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A2FE9"/>
    <w:rsid w:val="00BB2C8E"/>
    <w:rsid w:val="00BB3836"/>
    <w:rsid w:val="00BC6F6D"/>
    <w:rsid w:val="00BC79AA"/>
    <w:rsid w:val="00BC7BE2"/>
    <w:rsid w:val="00BD01DA"/>
    <w:rsid w:val="00BD1DC0"/>
    <w:rsid w:val="00BE1D4B"/>
    <w:rsid w:val="00BE2BF0"/>
    <w:rsid w:val="00BE491C"/>
    <w:rsid w:val="00BE4F1C"/>
    <w:rsid w:val="00BE6F0A"/>
    <w:rsid w:val="00BE7278"/>
    <w:rsid w:val="00BF2E9E"/>
    <w:rsid w:val="00BF5021"/>
    <w:rsid w:val="00BF6960"/>
    <w:rsid w:val="00C00573"/>
    <w:rsid w:val="00C01D6D"/>
    <w:rsid w:val="00C0394B"/>
    <w:rsid w:val="00C101D8"/>
    <w:rsid w:val="00C15724"/>
    <w:rsid w:val="00C16678"/>
    <w:rsid w:val="00C21599"/>
    <w:rsid w:val="00C244B2"/>
    <w:rsid w:val="00C30868"/>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5096"/>
    <w:rsid w:val="00D2614B"/>
    <w:rsid w:val="00D3035E"/>
    <w:rsid w:val="00D30B4B"/>
    <w:rsid w:val="00D31FD3"/>
    <w:rsid w:val="00D3496C"/>
    <w:rsid w:val="00D3643E"/>
    <w:rsid w:val="00D40841"/>
    <w:rsid w:val="00D411DB"/>
    <w:rsid w:val="00D452EA"/>
    <w:rsid w:val="00D57ABE"/>
    <w:rsid w:val="00D60D0A"/>
    <w:rsid w:val="00D63034"/>
    <w:rsid w:val="00D664DF"/>
    <w:rsid w:val="00D72C48"/>
    <w:rsid w:val="00D7572D"/>
    <w:rsid w:val="00D76EC7"/>
    <w:rsid w:val="00D806F7"/>
    <w:rsid w:val="00D90E8B"/>
    <w:rsid w:val="00D964B6"/>
    <w:rsid w:val="00DA06CF"/>
    <w:rsid w:val="00DA2107"/>
    <w:rsid w:val="00DA482F"/>
    <w:rsid w:val="00DA4F8D"/>
    <w:rsid w:val="00DA567B"/>
    <w:rsid w:val="00DA700A"/>
    <w:rsid w:val="00DB10DE"/>
    <w:rsid w:val="00DC0BCD"/>
    <w:rsid w:val="00DC63EA"/>
    <w:rsid w:val="00DC7755"/>
    <w:rsid w:val="00DD0776"/>
    <w:rsid w:val="00DD2D10"/>
    <w:rsid w:val="00DD493A"/>
    <w:rsid w:val="00DE0BA7"/>
    <w:rsid w:val="00DF1B60"/>
    <w:rsid w:val="00DF64FE"/>
    <w:rsid w:val="00DF70DD"/>
    <w:rsid w:val="00E05CBD"/>
    <w:rsid w:val="00E133C1"/>
    <w:rsid w:val="00E13A22"/>
    <w:rsid w:val="00E22023"/>
    <w:rsid w:val="00E24F6C"/>
    <w:rsid w:val="00E25FBD"/>
    <w:rsid w:val="00E27C54"/>
    <w:rsid w:val="00E33DFC"/>
    <w:rsid w:val="00E36DC0"/>
    <w:rsid w:val="00E40C11"/>
    <w:rsid w:val="00E504F9"/>
    <w:rsid w:val="00E5307C"/>
    <w:rsid w:val="00E5314E"/>
    <w:rsid w:val="00E538A2"/>
    <w:rsid w:val="00E65FF2"/>
    <w:rsid w:val="00E67113"/>
    <w:rsid w:val="00E67390"/>
    <w:rsid w:val="00E732A5"/>
    <w:rsid w:val="00E757CD"/>
    <w:rsid w:val="00E76293"/>
    <w:rsid w:val="00E773EF"/>
    <w:rsid w:val="00E841D0"/>
    <w:rsid w:val="00E84CB6"/>
    <w:rsid w:val="00E8759A"/>
    <w:rsid w:val="00E915A7"/>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4D29"/>
    <w:rsid w:val="00F35C2C"/>
    <w:rsid w:val="00F36C13"/>
    <w:rsid w:val="00F44F0C"/>
    <w:rsid w:val="00F45974"/>
    <w:rsid w:val="00F45EFD"/>
    <w:rsid w:val="00F51B8A"/>
    <w:rsid w:val="00F53A4B"/>
    <w:rsid w:val="00F64D16"/>
    <w:rsid w:val="00F65B50"/>
    <w:rsid w:val="00F66D00"/>
    <w:rsid w:val="00F67B3D"/>
    <w:rsid w:val="00F733D2"/>
    <w:rsid w:val="00F87CF1"/>
    <w:rsid w:val="00F906DF"/>
    <w:rsid w:val="00F934DE"/>
    <w:rsid w:val="00F941F7"/>
    <w:rsid w:val="00F95832"/>
    <w:rsid w:val="00F9693E"/>
    <w:rsid w:val="00F973AF"/>
    <w:rsid w:val="00F9745A"/>
    <w:rsid w:val="00FA5CE9"/>
    <w:rsid w:val="00FA6695"/>
    <w:rsid w:val="00FA794C"/>
    <w:rsid w:val="00FB1C77"/>
    <w:rsid w:val="00FB3F6A"/>
    <w:rsid w:val="00FD2905"/>
    <w:rsid w:val="00FE1CEA"/>
    <w:rsid w:val="00FE3C8E"/>
    <w:rsid w:val="00FE3E86"/>
    <w:rsid w:val="00FE4490"/>
    <w:rsid w:val="00FE51F2"/>
    <w:rsid w:val="00FE52AD"/>
    <w:rsid w:val="00FE5547"/>
    <w:rsid w:val="00FF15E9"/>
    <w:rsid w:val="00FF6973"/>
    <w:rsid w:val="04034F27"/>
    <w:rsid w:val="134C76E8"/>
    <w:rsid w:val="22F80CAF"/>
    <w:rsid w:val="23AB2840"/>
    <w:rsid w:val="2FC23DC4"/>
    <w:rsid w:val="339E2F39"/>
    <w:rsid w:val="38A16717"/>
    <w:rsid w:val="46A87316"/>
    <w:rsid w:val="512D246A"/>
    <w:rsid w:val="54B27197"/>
    <w:rsid w:val="5A9E6B68"/>
    <w:rsid w:val="769122E5"/>
    <w:rsid w:val="789A33D8"/>
    <w:rsid w:val="7E8A6DC1"/>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iPriority="22" w:name="Strong"/>
    <w:lsdException w:qFormat="1" w:uiPriority="2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字符"/>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字符"/>
    <w:link w:val="12"/>
    <w:qFormat/>
    <w:uiPriority w:val="0"/>
    <w:rPr>
      <w:rFonts w:ascii="Cambria" w:hAnsi="Cambria" w:eastAsia="宋体" w:cs="Times New Roman"/>
      <w:b/>
      <w:kern w:val="28"/>
      <w:sz w:val="24"/>
      <w:szCs w:val="32"/>
    </w:rPr>
  </w:style>
  <w:style w:type="character" w:customStyle="1" w:styleId="26">
    <w:name w:val="标题 1 字符"/>
    <w:link w:val="2"/>
    <w:qFormat/>
    <w:uiPriority w:val="9"/>
    <w:rPr>
      <w:b/>
      <w:bCs/>
      <w:kern w:val="44"/>
      <w:sz w:val="44"/>
      <w:szCs w:val="44"/>
    </w:rPr>
  </w:style>
  <w:style w:type="character" w:customStyle="1" w:styleId="27">
    <w:name w:val="标题 2 字符"/>
    <w:link w:val="3"/>
    <w:qFormat/>
    <w:uiPriority w:val="9"/>
    <w:rPr>
      <w:rFonts w:ascii="Cambria" w:hAnsi="Cambria" w:eastAsia="宋体" w:cs="Times New Roman"/>
      <w:b/>
      <w:bCs/>
      <w:sz w:val="32"/>
      <w:szCs w:val="32"/>
    </w:rPr>
  </w:style>
  <w:style w:type="character" w:customStyle="1" w:styleId="28">
    <w:name w:val="标题 字符"/>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字符"/>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字符"/>
    <w:link w:val="13"/>
    <w:qFormat/>
    <w:uiPriority w:val="0"/>
    <w:rPr>
      <w:kern w:val="2"/>
      <w:sz w:val="18"/>
      <w:szCs w:val="18"/>
    </w:rPr>
  </w:style>
  <w:style w:type="character" w:customStyle="1" w:styleId="48">
    <w:name w:val="日期 字符"/>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C33ED8-1EE1-4735-B60D-886198643719}">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292</Words>
  <Characters>1665</Characters>
  <Lines>13</Lines>
  <Paragraphs>3</Paragraphs>
  <TotalTime>0</TotalTime>
  <ScaleCrop>false</ScaleCrop>
  <LinksUpToDate>false</LinksUpToDate>
  <CharactersWithSpaces>1954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2020-01-07T12:08:00Z</dcterms:created>
  <dc:creator>yss</dc:creator>
  <cp:lastModifiedBy>01142875</cp:lastModifiedBy>
  <cp:lastPrinted>2411-12-31T16:00:00Z</cp:lastPrinted>
  <dcterms:modified xsi:type="dcterms:W3CDTF">2025-01-16T07:12:48Z</dcterms:modified>
  <dc:title>gongGaoMingCheng</dc:title>
  <cp:revision>149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ED34D9402E1A4C98B96527F311C55F7A</vt:lpwstr>
  </property>
  <property fmtid="{D5CDD505-2E9C-101B-9397-08002B2CF9AE}" pid="4" name="Generator">
    <vt:lpwstr>NPOI</vt:lpwstr>
  </property>
  <property fmtid="{D5CDD505-2E9C-101B-9397-08002B2CF9AE}" pid="5" name="Generator Version">
    <vt:lpwstr>2.2.1</vt:lpwstr>
  </property>
</Properties>
</file>