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 xml:space="preserve">四川银行定开系列6个月5号净值型理财产品 </w:t>
      </w:r>
    </w:p>
    <w:p>
      <w:pPr>
        <w:jc w:val="center"/>
        <w:rPr>
          <w:rFonts w:ascii="宋体" w:hAnsi="宋体"/>
          <w:b/>
          <w:bCs/>
          <w:sz w:val="48"/>
          <w:szCs w:val="30"/>
        </w:rPr>
      </w:pPr>
      <w:r>
        <w:rPr>
          <w:rFonts w:ascii="宋体" w:hAnsi="宋体"/>
          <w:b/>
          <w:bCs/>
          <w:sz w:val="48"/>
          <w:szCs w:val="30"/>
        </w:rPr>
        <w:t>2024年年度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b/>
          <w:bCs/>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自2024-01-01起至2024-12-31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四川银行定开系列6个月5号净值型理财产品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C1438121000174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2021-12-28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381,841,000.00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业绩比较基准（如有）</w:t>
            </w:r>
          </w:p>
        </w:tc>
        <w:tc>
          <w:tcPr>
            <w:tcW w:w="5027" w:type="dxa"/>
            <w:vAlign w:val="center"/>
          </w:tcPr>
          <w:p>
            <w:pPr>
              <w:jc w:val="left"/>
              <w:rPr>
                <w:rFonts w:ascii="宋体" w:hAnsi="宋体"/>
              </w:rPr>
            </w:pPr>
            <w:r>
              <w:rPr>
                <w:rFonts w:ascii="宋体" w:hAnsi="宋体"/>
              </w:rPr>
              <w:t>[2.45%-3.55%]/年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期末杠杆水平</w:t>
            </w:r>
          </w:p>
        </w:tc>
        <w:tc>
          <w:tcPr>
            <w:tcW w:w="5027" w:type="dxa"/>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100.69%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ascii="宋体" w:hAnsi="宋体"/>
              </w:rPr>
            </w:pPr>
            <w:r>
              <w:rPr>
                <w:rFonts w:hint="eastAsia" w:ascii="宋体" w:hAnsi="宋体"/>
              </w:rPr>
              <w:t>四川银行-四川银行定开系列6个月5号净值型理财产品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ascii="宋体" w:hAnsi="宋体"/>
              </w:rPr>
            </w:pPr>
            <w:r>
              <w:rPr>
                <w:rFonts w:hint="eastAsia" w:ascii="宋体" w:hAnsi="宋体"/>
              </w:rPr>
              <w:t>128912158810707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托管户开户行</w:t>
            </w:r>
          </w:p>
        </w:tc>
        <w:tc>
          <w:tcPr>
            <w:tcW w:w="5027" w:type="dxa"/>
            <w:vAlign w:val="center"/>
          </w:tcPr>
          <w:p>
            <w:pPr>
              <w:jc w:val="left"/>
              <w:rPr>
                <w:rFonts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both"/>
              <w:rPr>
                <w:rFonts w:ascii="宋体" w:hAnsi="宋体"/>
              </w:rPr>
            </w:pPr>
            <w:r>
              <w:rPr>
                <w:rFonts w:hint="eastAsia" w:ascii="宋体" w:hAnsi="宋体"/>
              </w:rPr>
              <w:t>当期（</w:t>
            </w:r>
            <w:r>
              <w:rPr>
                <w:rFonts w:ascii="宋体" w:hAnsi="宋体"/>
              </w:rPr>
              <w:t>2024-01-01</w:t>
            </w:r>
            <w:r>
              <w:rPr>
                <w:rFonts w:hint="eastAsia" w:ascii="宋体" w:hAnsi="宋体"/>
              </w:rPr>
              <w:t>至</w:t>
            </w:r>
            <w:r>
              <w:rPr>
                <w:rFonts w:ascii="宋体" w:hAnsi="宋体"/>
              </w:rPr>
              <w:t>2024-12-31</w:t>
            </w:r>
            <w:r>
              <w:rPr>
                <w:rFonts w:hint="eastAsia" w:ascii="宋体" w:hAnsi="宋体"/>
              </w:rPr>
              <w:t>）</w:t>
            </w:r>
          </w:p>
        </w:tc>
        <w:tc>
          <w:tcPr>
            <w:tcW w:w="5103" w:type="dxa"/>
            <w:vAlign w:val="center"/>
          </w:tcPr>
          <w:p>
            <w:pPr>
              <w:jc w:val="right"/>
              <w:rPr>
                <w:rFonts w:ascii="宋体" w:hAnsi="宋体"/>
              </w:rPr>
            </w:pPr>
            <w:r>
              <w:rPr>
                <w:rFonts w:hint="eastAsia" w:ascii="宋体" w:hAnsi="宋体"/>
              </w:rPr>
              <w:t>3.08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left"/>
              <w:rPr>
                <w:rFonts w:ascii="宋体" w:hAnsi="宋体"/>
              </w:rPr>
            </w:pPr>
            <w:r>
              <w:rPr>
                <w:rFonts w:hint="eastAsia" w:ascii="宋体" w:hAnsi="宋体"/>
              </w:rPr>
              <w:t>自产品成立日至今</w:t>
            </w:r>
          </w:p>
        </w:tc>
        <w:tc>
          <w:tcPr>
            <w:tcW w:w="5103" w:type="dxa"/>
            <w:vAlign w:val="center"/>
          </w:tcPr>
          <w:p>
            <w:pPr>
              <w:jc w:val="right"/>
              <w:rPr>
                <w:rFonts w:ascii="宋体" w:hAnsi="宋体"/>
              </w:rPr>
            </w:pPr>
            <w:r>
              <w:rPr>
                <w:rFonts w:hint="eastAsia" w:ascii="宋体" w:hAnsi="宋体"/>
              </w:rPr>
              <w:t>9.22</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ascii="宋体" w:hAnsi="宋体"/>
                <w:b/>
                <w:szCs w:val="21"/>
              </w:rPr>
              <w:t>项目</w:t>
            </w:r>
          </w:p>
        </w:tc>
        <w:tc>
          <w:tcPr>
            <w:tcW w:w="5027" w:type="dxa"/>
            <w:shd w:val="clear" w:color="auto" w:fill="D9D9D9"/>
            <w:vAlign w:val="center"/>
          </w:tcPr>
          <w:p>
            <w:pPr>
              <w:jc w:val="left"/>
              <w:rPr>
                <w:b/>
              </w:rPr>
            </w:pPr>
            <w:r>
              <w:rPr>
                <w:b/>
              </w:rPr>
              <w:t>2024-01-01</w:t>
            </w:r>
            <w:r>
              <w:rPr>
                <w:rFonts w:hint="eastAsia"/>
                <w:b/>
              </w:rPr>
              <w:t xml:space="preserve">至 </w:t>
            </w:r>
            <w:r>
              <w:rPr>
                <w:b/>
              </w:rPr>
              <w:t>2024-12-31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rPr>
                <w:rFonts w:ascii="宋体" w:hAnsi="宋体"/>
              </w:rPr>
            </w:pPr>
            <w:r>
              <w:rPr>
                <w:rFonts w:ascii="宋体" w:hAnsi="宋体"/>
              </w:rPr>
              <w:t>6,123,569.07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rPr>
                <w:rFonts w:ascii="宋体" w:hAnsi="宋体"/>
              </w:rPr>
            </w:pPr>
            <w:r>
              <w:rPr>
                <w:rFonts w:ascii="宋体" w:hAnsi="宋体"/>
              </w:rPr>
              <w:t>6,956,162.70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rPr>
                <w:rFonts w:ascii="宋体" w:hAnsi="宋体"/>
              </w:rPr>
            </w:pPr>
            <w:r>
              <w:rPr>
                <w:rFonts w:ascii="宋体" w:hAnsi="宋体"/>
              </w:rPr>
              <w:t>381,998,521.17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rPr>
                <w:rFonts w:ascii="宋体" w:hAnsi="宋体"/>
              </w:rPr>
            </w:pPr>
            <w:r>
              <w:rPr>
                <w:rFonts w:ascii="宋体" w:hAnsi="宋体"/>
              </w:rPr>
              <w:t>1.0004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both"/>
              <w:rPr>
                <w:rFonts w:hint="eastAsia" w:ascii="宋体" w:hAnsi="宋体" w:eastAsia="宋体" w:cs="Times New Roman"/>
                <w:kern w:val="2"/>
                <w:sz w:val="21"/>
                <w:lang w:val="en-US" w:eastAsia="zh-CN" w:bidi="ar-SA"/>
              </w:rPr>
            </w:pPr>
            <w:r>
              <w:rPr>
                <w:rFonts w:hint="eastAsia" w:ascii="宋体" w:hAnsi="宋体"/>
                <w:lang w:val="en-US" w:eastAsia="zh-CN"/>
              </w:rPr>
              <w:t>期末累计单位净值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1.0922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eastAsia="宋体" w:cs="Times New Roman"/>
                <w:kern w:val="2"/>
                <w:sz w:val="21"/>
                <w:lang w:val="en-US" w:eastAsia="zh-CN" w:bidi="ar-SA"/>
              </w:rPr>
            </w:pPr>
            <w:r>
              <w:rPr>
                <w:rFonts w:hint="eastAsia" w:ascii="宋体" w:hAnsi="宋体"/>
              </w:rPr>
              <w:t>期末最后一个市场交易日资产净值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381,998,521.17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eastAsia="宋体" w:cs="Times New Roman"/>
                <w:b/>
                <w:bCs/>
                <w:kern w:val="2"/>
                <w:sz w:val="21"/>
                <w:lang w:val="en-US" w:eastAsia="zh-CN" w:bidi="ar-SA"/>
              </w:rPr>
            </w:pPr>
            <w:r>
              <w:rPr>
                <w:rFonts w:hint="eastAsia" w:ascii="宋体" w:hAnsi="宋体"/>
              </w:rPr>
              <w:t>期末最后一个市场交易日</w:t>
            </w:r>
            <w:r>
              <w:rPr>
                <w:rFonts w:hint="eastAsia" w:ascii="宋体" w:hAnsi="宋体"/>
                <w:lang w:val="en-US" w:eastAsia="zh-CN"/>
              </w:rPr>
              <w:t>份额</w:t>
            </w:r>
            <w:r>
              <w:rPr>
                <w:rFonts w:hint="eastAsia" w:ascii="宋体" w:hAnsi="宋体"/>
              </w:rPr>
              <w:t>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1.0004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eastAsia="宋体" w:cs="Times New Roman"/>
                <w:kern w:val="2"/>
                <w:sz w:val="21"/>
                <w:lang w:val="en-US" w:eastAsia="zh-CN" w:bidi="ar-SA"/>
              </w:rPr>
            </w:pPr>
            <w:r>
              <w:rPr>
                <w:rFonts w:hint="eastAsia" w:ascii="宋体" w:hAnsi="宋体"/>
              </w:rPr>
              <w:t>期末最后一个市场交易日</w:t>
            </w:r>
            <w:r>
              <w:rPr>
                <w:rFonts w:hint="eastAsia" w:ascii="宋体" w:hAnsi="宋体"/>
                <w:lang w:val="en-US" w:eastAsia="zh-CN"/>
              </w:rPr>
              <w:t>累计单位</w:t>
            </w:r>
            <w:r>
              <w:rPr>
                <w:rFonts w:hint="eastAsia" w:ascii="宋体" w:hAnsi="宋体"/>
              </w:rPr>
              <w:t>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1.0922</w:t>
            </w:r>
          </w:p>
        </w:tc>
      </w:tr>
    </w:tbl>
    <w:p>
      <w:pPr>
        <w:tabs>
          <w:tab w:val="left" w:pos="3135"/>
        </w:tabs>
        <w:ind w:left="420" w:leftChars="200"/>
        <w:rPr>
          <w:rFonts w:ascii="宋体" w:hAnsi="宋体"/>
          <w:sz w:val="24"/>
        </w:rPr>
      </w:pPr>
      <w:r>
        <w:rPr>
          <w:rFonts w:hint="eastAsia" w:ascii="宋体" w:hAnsi="宋体"/>
          <w:sz w:val="24"/>
        </w:rPr>
        <w:t xml:space="preserve"> </w:t>
      </w:r>
    </w:p>
    <w:p>
      <w:pPr>
        <w:pStyle w:val="40"/>
      </w:pPr>
      <w:r>
        <w:rPr>
          <w:rFonts w:hint="eastAsia"/>
        </w:rPr>
        <w:t>投资组合情况</w:t>
      </w:r>
      <w:r>
        <w:rPr>
          <w:rFonts w:hint="eastAsia"/>
          <w:lang w:eastAsia="zh-CN"/>
        </w:rPr>
        <w:t>及</w:t>
      </w:r>
      <w:r>
        <w:rPr>
          <w:lang w:eastAsia="zh-CN"/>
        </w:rP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rPr>
          <w:lang w:val="zh-CN" w:eastAsia="zh-CN"/>
        </w:rPr>
      </w:pPr>
    </w:p>
    <w:p>
      <w:pPr>
        <w:jc w:val="right"/>
      </w:pPr>
    </w:p>
    <w:p>
      <w:pPr>
        <w:jc w:val="right"/>
      </w:pPr>
    </w:p>
    <w:p>
      <w:pPr>
        <w:jc w:val="right"/>
        <w:rPr>
          <w:rFonts w:hint="eastAsia"/>
        </w:rPr>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rPr>
                <w:rFonts w:ascii="宋体" w:hAnsi="宋体"/>
              </w:rPr>
            </w:pPr>
            <w:r>
              <w:rPr>
                <w:rFonts w:hint="eastAsia" w:ascii="宋体" w:hAnsi="宋体"/>
              </w:rPr>
              <w:t>270,329,974.53</w:t>
            </w:r>
          </w:p>
        </w:tc>
        <w:tc>
          <w:tcPr>
            <w:tcW w:w="1749" w:type="dxa"/>
            <w:shd w:val="clear" w:color="auto" w:fill="auto"/>
            <w:vAlign w:val="center"/>
          </w:tcPr>
          <w:p>
            <w:pPr>
              <w:jc w:val="right"/>
              <w:rPr>
                <w:rFonts w:ascii="宋体" w:hAnsi="宋体"/>
              </w:rPr>
            </w:pPr>
            <w:r>
              <w:rPr>
                <w:rFonts w:hint="eastAsia" w:ascii="宋体" w:hAnsi="宋体"/>
              </w:rPr>
              <w:t>70.28</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rPr>
                <w:rFonts w:ascii="宋体" w:hAnsi="宋体"/>
              </w:rPr>
            </w:pPr>
            <w:r>
              <w:rPr>
                <w:rFonts w:hint="eastAsia" w:ascii="宋体" w:hAnsi="宋体"/>
              </w:rPr>
              <w:t>255,600,487.21</w:t>
            </w:r>
          </w:p>
        </w:tc>
        <w:tc>
          <w:tcPr>
            <w:tcW w:w="1749" w:type="dxa"/>
            <w:shd w:val="clear" w:color="auto" w:fill="auto"/>
            <w:vAlign w:val="center"/>
          </w:tcPr>
          <w:p>
            <w:pPr>
              <w:jc w:val="right"/>
              <w:rPr>
                <w:rFonts w:ascii="宋体" w:hAnsi="宋体"/>
              </w:rPr>
            </w:pPr>
            <w:r>
              <w:rPr>
                <w:rFonts w:hint="eastAsia" w:ascii="宋体" w:hAnsi="宋体"/>
              </w:rPr>
              <w:t>66.45</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rPr>
                <w:rFonts w:ascii="宋体" w:hAnsi="宋体"/>
              </w:rPr>
            </w:pPr>
            <w:r>
              <w:rPr>
                <w:rFonts w:hint="eastAsia" w:ascii="宋体" w:hAnsi="宋体"/>
              </w:rPr>
              <w:t>14,729,487.32</w:t>
            </w:r>
          </w:p>
        </w:tc>
        <w:tc>
          <w:tcPr>
            <w:tcW w:w="1749" w:type="dxa"/>
            <w:shd w:val="clear" w:color="auto" w:fill="auto"/>
            <w:vAlign w:val="center"/>
          </w:tcPr>
          <w:p>
            <w:pPr>
              <w:jc w:val="right"/>
              <w:rPr>
                <w:rFonts w:ascii="宋体" w:hAnsi="宋体"/>
              </w:rPr>
            </w:pPr>
            <w:r>
              <w:rPr>
                <w:rFonts w:hint="eastAsia" w:ascii="宋体" w:hAnsi="宋体"/>
              </w:rPr>
              <w:t>3.83</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rPr>
                <w:rFonts w:ascii="宋体" w:hAnsi="宋体"/>
              </w:rPr>
            </w:pPr>
            <w:r>
              <w:rPr>
                <w:rFonts w:hint="eastAsia" w:ascii="宋体" w:hAnsi="宋体"/>
              </w:rPr>
              <w:t>78,029,978.16</w:t>
            </w:r>
          </w:p>
        </w:tc>
        <w:tc>
          <w:tcPr>
            <w:tcW w:w="1749" w:type="dxa"/>
            <w:shd w:val="clear" w:color="auto" w:fill="auto"/>
            <w:vAlign w:val="center"/>
          </w:tcPr>
          <w:p>
            <w:pPr>
              <w:jc w:val="right"/>
              <w:rPr>
                <w:rFonts w:ascii="宋体" w:hAnsi="宋体"/>
              </w:rPr>
            </w:pPr>
            <w:r>
              <w:rPr>
                <w:rFonts w:hint="eastAsia" w:ascii="宋体" w:hAnsi="宋体"/>
              </w:rPr>
              <w:t>20.29</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rPr>
                <w:rFonts w:ascii="宋体" w:hAnsi="宋体"/>
              </w:rPr>
            </w:pPr>
            <w:r>
              <w:rPr>
                <w:rFonts w:hint="eastAsia" w:ascii="宋体" w:hAnsi="宋体"/>
              </w:rPr>
              <w:t>36,076,915.20</w:t>
            </w:r>
          </w:p>
        </w:tc>
        <w:tc>
          <w:tcPr>
            <w:tcW w:w="1749" w:type="dxa"/>
            <w:shd w:val="clear" w:color="auto" w:fill="auto"/>
            <w:vAlign w:val="center"/>
          </w:tcPr>
          <w:p>
            <w:pPr>
              <w:jc w:val="right"/>
              <w:rPr>
                <w:rFonts w:ascii="宋体" w:hAnsi="宋体"/>
              </w:rPr>
            </w:pPr>
            <w:r>
              <w:rPr>
                <w:rFonts w:hint="eastAsia" w:ascii="宋体" w:hAnsi="宋体"/>
              </w:rPr>
              <w:t>9.38</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rPr>
                <w:rFonts w:ascii="宋体" w:hAnsi="宋体"/>
              </w:rPr>
            </w:pPr>
            <w:r>
              <w:rPr>
                <w:rFonts w:hint="eastAsia" w:ascii="宋体" w:hAnsi="宋体"/>
              </w:rPr>
              <w:t>215,873.01</w:t>
            </w:r>
          </w:p>
        </w:tc>
        <w:tc>
          <w:tcPr>
            <w:tcW w:w="1749" w:type="dxa"/>
            <w:shd w:val="clear" w:color="auto" w:fill="auto"/>
            <w:vAlign w:val="center"/>
          </w:tcPr>
          <w:p>
            <w:pPr>
              <w:jc w:val="right"/>
              <w:rPr>
                <w:rFonts w:ascii="宋体" w:hAnsi="宋体"/>
              </w:rPr>
            </w:pPr>
            <w:r>
              <w:rPr>
                <w:rFonts w:hint="eastAsia" w:ascii="宋体" w:hAnsi="宋体"/>
              </w:rPr>
              <w:t>0.06</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vAlign w:val="top"/>
          </w:tcPr>
          <w:p>
            <w:pPr>
              <w:jc w:val="right"/>
              <w:rPr>
                <w:rFonts w:ascii="宋体" w:hAnsi="宋体"/>
              </w:rPr>
            </w:pPr>
            <w:r>
              <w:rPr>
                <w:rFonts w:hint="eastAsia" w:ascii="宋体" w:hAnsi="宋体"/>
              </w:rPr>
              <w:t>384,652,740.90</w:t>
            </w:r>
          </w:p>
        </w:tc>
        <w:tc>
          <w:tcPr>
            <w:tcW w:w="1749" w:type="dxa"/>
            <w:shd w:val="clear" w:color="auto" w:fill="auto"/>
            <w:vAlign w:val="top"/>
          </w:tcPr>
          <w:p>
            <w:pPr>
              <w:jc w:val="right"/>
              <w:rPr>
                <w:rFonts w:ascii="宋体" w:hAnsi="宋体"/>
              </w:rPr>
            </w:pPr>
            <w:r>
              <w:rPr>
                <w:rFonts w:hint="eastAsia" w:ascii="宋体" w:hAnsi="宋体"/>
              </w:rPr>
              <w:t>100.00</w:t>
            </w:r>
          </w:p>
        </w:tc>
        <w:tc>
          <w:tcPr>
            <w:tcW w:w="1653" w:type="dxa"/>
          </w:tcPr>
          <w:p>
            <w:pPr>
              <w:jc w:val="right"/>
              <w:rPr>
                <w:rFonts w:ascii="宋体" w:hAnsi="宋体"/>
              </w:rPr>
            </w:pPr>
            <w:r>
              <w:rPr>
                <w:rFonts w:hint="eastAsia" w:ascii="宋体" w:hAnsi="宋体"/>
              </w:rPr>
              <w:t>0.00</w:t>
            </w:r>
          </w:p>
        </w:tc>
        <w:tc>
          <w:tcPr>
            <w:tcW w:w="1705" w:type="dxa"/>
          </w:tcPr>
          <w:p>
            <w:pPr>
              <w:jc w:val="right"/>
              <w:rPr>
                <w:rFonts w:ascii="宋体" w:hAnsi="宋体"/>
              </w:rPr>
            </w:pPr>
            <w:r>
              <w:rPr>
                <w:rFonts w:hint="eastAsia" w:ascii="宋体" w:hAnsi="宋体"/>
              </w:rPr>
              <w:t>0.00</w:t>
            </w:r>
          </w:p>
        </w:tc>
      </w:tr>
    </w:tbl>
    <w:p>
      <w:pPr>
        <w:jc w:val="right"/>
        <w:rPr>
          <w:rFonts w:hint="eastAsia"/>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spacing w:line="360" w:lineRule="auto"/>
        <w:ind w:right="-107" w:rightChars="-51" w:firstLine="480" w:firstLineChars="200"/>
        <w:jc w:val="left"/>
        <w:rPr>
          <w:rFonts w:ascii="宋体" w:hAnsi="宋体"/>
          <w:szCs w:val="21"/>
        </w:rPr>
      </w:pPr>
      <w:r>
        <w:rPr>
          <w:rFonts w:hint="eastAsia" w:ascii="宋体" w:hAnsi="宋体"/>
          <w:sz w:val="24"/>
        </w:rPr>
        <w:t xml:space="preserve">   </w:t>
      </w:r>
      <w:r>
        <w:rPr>
          <w:rFonts w:hint="eastAsia" w:ascii="宋体" w:hAnsi="宋体"/>
          <w:szCs w:val="21"/>
        </w:rPr>
        <w:t>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jc w:val="left"/>
        <w:rPr>
          <w:rFonts w:asciiTheme="minorEastAsia" w:hAnsiTheme="minorEastAsia" w:eastAsiaTheme="minorEastAsia"/>
          <w:sz w:val="24"/>
        </w:rPr>
      </w:pP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1</w:t>
            </w:r>
          </w:p>
        </w:tc>
        <w:tc>
          <w:tcPr>
            <w:tcW w:w="3159" w:type="dxa"/>
            <w:shd w:val="clear" w:color="auto" w:fill="auto"/>
            <w:vAlign w:val="center"/>
          </w:tcPr>
          <w:p>
            <w:pPr>
              <w:rPr>
                <w:rFonts w:ascii="宋体" w:hAnsi="宋体"/>
                <w:szCs w:val="21"/>
              </w:rPr>
            </w:pPr>
            <w:r>
              <w:rPr>
                <w:rFonts w:ascii="宋体" w:hAnsi="宋体"/>
                <w:szCs w:val="21"/>
              </w:rPr>
              <w:t>GC007</w:t>
            </w:r>
          </w:p>
        </w:tc>
        <w:tc>
          <w:tcPr>
            <w:tcW w:w="2693" w:type="dxa"/>
            <w:shd w:val="clear" w:color="auto" w:fill="auto"/>
            <w:vAlign w:val="center"/>
          </w:tcPr>
          <w:p>
            <w:pPr>
              <w:jc w:val="right"/>
              <w:rPr>
                <w:rFonts w:ascii="宋体" w:hAnsi="宋体"/>
              </w:rPr>
            </w:pPr>
            <w:r>
              <w:rPr>
                <w:rFonts w:ascii="宋体" w:hAnsi="宋体"/>
              </w:rPr>
              <w:t>78,029,978.16</w:t>
            </w:r>
          </w:p>
        </w:tc>
        <w:tc>
          <w:tcPr>
            <w:tcW w:w="2431" w:type="dxa"/>
            <w:shd w:val="clear" w:color="auto" w:fill="auto"/>
            <w:vAlign w:val="center"/>
          </w:tcPr>
          <w:p>
            <w:pPr>
              <w:jc w:val="right"/>
              <w:rPr>
                <w:rFonts w:ascii="宋体" w:hAnsi="宋体"/>
              </w:rPr>
            </w:pPr>
            <w:r>
              <w:rPr>
                <w:rFonts w:ascii="宋体" w:hAnsi="宋体"/>
              </w:rPr>
              <w:t>20.43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2</w:t>
            </w:r>
          </w:p>
        </w:tc>
        <w:tc>
          <w:tcPr>
            <w:tcW w:w="3159" w:type="dxa"/>
            <w:shd w:val="clear" w:color="auto" w:fill="auto"/>
            <w:vAlign w:val="center"/>
          </w:tcPr>
          <w:p>
            <w:pPr>
              <w:rPr>
                <w:rFonts w:ascii="宋体" w:hAnsi="宋体"/>
                <w:szCs w:val="21"/>
              </w:rPr>
            </w:pPr>
            <w:r>
              <w:rPr>
                <w:rFonts w:ascii="宋体" w:hAnsi="宋体"/>
                <w:szCs w:val="21"/>
              </w:rPr>
              <w:t>24富滇银行CD091</w:t>
            </w:r>
          </w:p>
        </w:tc>
        <w:tc>
          <w:tcPr>
            <w:tcW w:w="2693" w:type="dxa"/>
            <w:shd w:val="clear" w:color="auto" w:fill="auto"/>
            <w:vAlign w:val="center"/>
          </w:tcPr>
          <w:p>
            <w:pPr>
              <w:jc w:val="right"/>
              <w:rPr>
                <w:rFonts w:ascii="宋体" w:hAnsi="宋体"/>
              </w:rPr>
            </w:pPr>
            <w:r>
              <w:rPr>
                <w:rFonts w:ascii="宋体" w:hAnsi="宋体"/>
              </w:rPr>
              <w:t>29,768,109.04</w:t>
            </w:r>
          </w:p>
        </w:tc>
        <w:tc>
          <w:tcPr>
            <w:tcW w:w="2431" w:type="dxa"/>
            <w:shd w:val="clear" w:color="auto" w:fill="auto"/>
            <w:vAlign w:val="center"/>
          </w:tcPr>
          <w:p>
            <w:pPr>
              <w:jc w:val="right"/>
              <w:rPr>
                <w:rFonts w:ascii="宋体" w:hAnsi="宋体"/>
              </w:rPr>
            </w:pPr>
            <w:r>
              <w:rPr>
                <w:rFonts w:ascii="宋体" w:hAnsi="宋体"/>
              </w:rPr>
              <w:t>7.79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3</w:t>
            </w:r>
          </w:p>
        </w:tc>
        <w:tc>
          <w:tcPr>
            <w:tcW w:w="3159" w:type="dxa"/>
            <w:shd w:val="clear" w:color="auto" w:fill="auto"/>
            <w:vAlign w:val="center"/>
          </w:tcPr>
          <w:p>
            <w:pPr>
              <w:rPr>
                <w:rFonts w:ascii="宋体" w:hAnsi="宋体"/>
                <w:szCs w:val="21"/>
              </w:rPr>
            </w:pPr>
            <w:r>
              <w:rPr>
                <w:rFonts w:ascii="宋体" w:hAnsi="宋体"/>
                <w:szCs w:val="21"/>
              </w:rPr>
              <w:t>24日照银行CD066</w:t>
            </w:r>
          </w:p>
        </w:tc>
        <w:tc>
          <w:tcPr>
            <w:tcW w:w="2693" w:type="dxa"/>
            <w:shd w:val="clear" w:color="auto" w:fill="auto"/>
            <w:vAlign w:val="center"/>
          </w:tcPr>
          <w:p>
            <w:pPr>
              <w:jc w:val="right"/>
              <w:rPr>
                <w:rFonts w:ascii="宋体" w:hAnsi="宋体"/>
              </w:rPr>
            </w:pPr>
            <w:r>
              <w:rPr>
                <w:rFonts w:ascii="宋体" w:hAnsi="宋体"/>
              </w:rPr>
              <w:t>29,740,616.88</w:t>
            </w:r>
          </w:p>
        </w:tc>
        <w:tc>
          <w:tcPr>
            <w:tcW w:w="2431" w:type="dxa"/>
            <w:shd w:val="clear" w:color="auto" w:fill="auto"/>
            <w:vAlign w:val="center"/>
          </w:tcPr>
          <w:p>
            <w:pPr>
              <w:jc w:val="right"/>
              <w:rPr>
                <w:rFonts w:ascii="宋体" w:hAnsi="宋体"/>
              </w:rPr>
            </w:pPr>
            <w:r>
              <w:rPr>
                <w:rFonts w:ascii="宋体" w:hAnsi="宋体"/>
              </w:rPr>
              <w:t>7.79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4</w:t>
            </w:r>
          </w:p>
        </w:tc>
        <w:tc>
          <w:tcPr>
            <w:tcW w:w="3159" w:type="dxa"/>
            <w:shd w:val="clear" w:color="auto" w:fill="auto"/>
            <w:vAlign w:val="center"/>
          </w:tcPr>
          <w:p>
            <w:pPr>
              <w:rPr>
                <w:rFonts w:ascii="宋体" w:hAnsi="宋体"/>
                <w:szCs w:val="21"/>
              </w:rPr>
            </w:pPr>
            <w:r>
              <w:rPr>
                <w:rFonts w:ascii="宋体" w:hAnsi="宋体"/>
                <w:szCs w:val="21"/>
              </w:rPr>
              <w:t>20香城投资MTN002</w:t>
            </w:r>
          </w:p>
        </w:tc>
        <w:tc>
          <w:tcPr>
            <w:tcW w:w="2693" w:type="dxa"/>
            <w:shd w:val="clear" w:color="auto" w:fill="auto"/>
            <w:vAlign w:val="center"/>
          </w:tcPr>
          <w:p>
            <w:pPr>
              <w:jc w:val="right"/>
              <w:rPr>
                <w:rFonts w:ascii="宋体" w:hAnsi="宋体"/>
              </w:rPr>
            </w:pPr>
            <w:r>
              <w:rPr>
                <w:rFonts w:ascii="宋体" w:hAnsi="宋体"/>
              </w:rPr>
              <w:t>15,352,047.95</w:t>
            </w:r>
          </w:p>
        </w:tc>
        <w:tc>
          <w:tcPr>
            <w:tcW w:w="2431" w:type="dxa"/>
            <w:shd w:val="clear" w:color="auto" w:fill="auto"/>
            <w:vAlign w:val="center"/>
          </w:tcPr>
          <w:p>
            <w:pPr>
              <w:jc w:val="right"/>
              <w:rPr>
                <w:rFonts w:ascii="宋体" w:hAnsi="宋体"/>
              </w:rPr>
            </w:pPr>
            <w:r>
              <w:rPr>
                <w:rFonts w:ascii="宋体" w:hAnsi="宋体"/>
              </w:rPr>
              <w:t>4.02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5</w:t>
            </w:r>
          </w:p>
        </w:tc>
        <w:tc>
          <w:tcPr>
            <w:tcW w:w="3159" w:type="dxa"/>
            <w:shd w:val="clear" w:color="auto" w:fill="auto"/>
            <w:vAlign w:val="center"/>
          </w:tcPr>
          <w:p>
            <w:pPr>
              <w:rPr>
                <w:rFonts w:ascii="宋体" w:hAnsi="宋体"/>
                <w:szCs w:val="21"/>
              </w:rPr>
            </w:pPr>
            <w:r>
              <w:rPr>
                <w:rFonts w:ascii="宋体" w:hAnsi="宋体"/>
                <w:szCs w:val="21"/>
              </w:rPr>
              <w:t>24成都农商银行CD013</w:t>
            </w:r>
          </w:p>
        </w:tc>
        <w:tc>
          <w:tcPr>
            <w:tcW w:w="2693" w:type="dxa"/>
            <w:shd w:val="clear" w:color="auto" w:fill="auto"/>
            <w:vAlign w:val="center"/>
          </w:tcPr>
          <w:p>
            <w:pPr>
              <w:jc w:val="right"/>
              <w:rPr>
                <w:rFonts w:ascii="宋体" w:hAnsi="宋体"/>
              </w:rPr>
            </w:pPr>
            <w:r>
              <w:rPr>
                <w:rFonts w:ascii="宋体" w:hAnsi="宋体"/>
              </w:rPr>
              <w:t>14,967,375.61</w:t>
            </w:r>
          </w:p>
        </w:tc>
        <w:tc>
          <w:tcPr>
            <w:tcW w:w="2431" w:type="dxa"/>
            <w:shd w:val="clear" w:color="auto" w:fill="auto"/>
            <w:vAlign w:val="center"/>
          </w:tcPr>
          <w:p>
            <w:pPr>
              <w:jc w:val="right"/>
              <w:rPr>
                <w:rFonts w:ascii="宋体" w:hAnsi="宋体"/>
              </w:rPr>
            </w:pPr>
            <w:r>
              <w:rPr>
                <w:rFonts w:ascii="宋体" w:hAnsi="宋体"/>
              </w:rPr>
              <w:t>3.92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6</w:t>
            </w:r>
          </w:p>
        </w:tc>
        <w:tc>
          <w:tcPr>
            <w:tcW w:w="3159" w:type="dxa"/>
            <w:shd w:val="clear" w:color="auto" w:fill="auto"/>
            <w:vAlign w:val="center"/>
          </w:tcPr>
          <w:p>
            <w:pPr>
              <w:rPr>
                <w:rFonts w:ascii="宋体" w:hAnsi="宋体"/>
                <w:szCs w:val="21"/>
              </w:rPr>
            </w:pPr>
            <w:r>
              <w:rPr>
                <w:rFonts w:ascii="宋体" w:hAnsi="宋体"/>
                <w:szCs w:val="21"/>
              </w:rPr>
              <w:t>空港03优</w:t>
            </w:r>
          </w:p>
        </w:tc>
        <w:tc>
          <w:tcPr>
            <w:tcW w:w="2693" w:type="dxa"/>
            <w:shd w:val="clear" w:color="auto" w:fill="auto"/>
            <w:vAlign w:val="center"/>
          </w:tcPr>
          <w:p>
            <w:pPr>
              <w:jc w:val="right"/>
              <w:rPr>
                <w:rFonts w:ascii="宋体" w:hAnsi="宋体"/>
              </w:rPr>
            </w:pPr>
            <w:r>
              <w:rPr>
                <w:rFonts w:ascii="宋体" w:hAnsi="宋体"/>
              </w:rPr>
              <w:t>14,729,487.32</w:t>
            </w:r>
          </w:p>
        </w:tc>
        <w:tc>
          <w:tcPr>
            <w:tcW w:w="2431" w:type="dxa"/>
            <w:shd w:val="clear" w:color="auto" w:fill="auto"/>
            <w:vAlign w:val="center"/>
          </w:tcPr>
          <w:p>
            <w:pPr>
              <w:jc w:val="right"/>
              <w:rPr>
                <w:rFonts w:ascii="宋体" w:hAnsi="宋体"/>
              </w:rPr>
            </w:pPr>
            <w:r>
              <w:rPr>
                <w:rFonts w:ascii="宋体" w:hAnsi="宋体"/>
              </w:rPr>
              <w:t>3.86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7</w:t>
            </w:r>
          </w:p>
        </w:tc>
        <w:tc>
          <w:tcPr>
            <w:tcW w:w="3159" w:type="dxa"/>
            <w:shd w:val="clear" w:color="auto" w:fill="auto"/>
            <w:vAlign w:val="center"/>
          </w:tcPr>
          <w:p>
            <w:pPr>
              <w:rPr>
                <w:rFonts w:ascii="宋体" w:hAnsi="宋体"/>
                <w:szCs w:val="21"/>
              </w:rPr>
            </w:pPr>
            <w:r>
              <w:rPr>
                <w:rFonts w:ascii="宋体" w:hAnsi="宋体"/>
                <w:szCs w:val="21"/>
              </w:rPr>
              <w:t>24达州01</w:t>
            </w:r>
          </w:p>
        </w:tc>
        <w:tc>
          <w:tcPr>
            <w:tcW w:w="2693" w:type="dxa"/>
            <w:shd w:val="clear" w:color="auto" w:fill="auto"/>
            <w:vAlign w:val="center"/>
          </w:tcPr>
          <w:p>
            <w:pPr>
              <w:jc w:val="right"/>
              <w:rPr>
                <w:rFonts w:ascii="宋体" w:hAnsi="宋体"/>
              </w:rPr>
            </w:pPr>
            <w:r>
              <w:rPr>
                <w:rFonts w:ascii="宋体" w:hAnsi="宋体"/>
              </w:rPr>
              <w:t>10,801,767.12</w:t>
            </w:r>
          </w:p>
        </w:tc>
        <w:tc>
          <w:tcPr>
            <w:tcW w:w="2431" w:type="dxa"/>
            <w:shd w:val="clear" w:color="auto" w:fill="auto"/>
            <w:vAlign w:val="center"/>
          </w:tcPr>
          <w:p>
            <w:pPr>
              <w:jc w:val="right"/>
              <w:rPr>
                <w:rFonts w:ascii="宋体" w:hAnsi="宋体"/>
              </w:rPr>
            </w:pPr>
            <w:r>
              <w:rPr>
                <w:rFonts w:ascii="宋体" w:hAnsi="宋体"/>
              </w:rPr>
              <w:t>2.83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8</w:t>
            </w:r>
          </w:p>
        </w:tc>
        <w:tc>
          <w:tcPr>
            <w:tcW w:w="3159" w:type="dxa"/>
            <w:shd w:val="clear" w:color="auto" w:fill="auto"/>
            <w:vAlign w:val="center"/>
          </w:tcPr>
          <w:p>
            <w:pPr>
              <w:rPr>
                <w:rFonts w:ascii="宋体" w:hAnsi="宋体"/>
                <w:szCs w:val="21"/>
              </w:rPr>
            </w:pPr>
            <w:r>
              <w:rPr>
                <w:rFonts w:ascii="宋体" w:hAnsi="宋体"/>
                <w:szCs w:val="21"/>
              </w:rPr>
              <w:t>23自高01</w:t>
            </w:r>
          </w:p>
        </w:tc>
        <w:tc>
          <w:tcPr>
            <w:tcW w:w="2693" w:type="dxa"/>
            <w:shd w:val="clear" w:color="auto" w:fill="auto"/>
            <w:vAlign w:val="center"/>
          </w:tcPr>
          <w:p>
            <w:pPr>
              <w:jc w:val="right"/>
              <w:rPr>
                <w:rFonts w:ascii="宋体" w:hAnsi="宋体"/>
              </w:rPr>
            </w:pPr>
            <w:r>
              <w:rPr>
                <w:rFonts w:ascii="宋体" w:hAnsi="宋体"/>
              </w:rPr>
              <w:t>10,776,630.14</w:t>
            </w:r>
          </w:p>
        </w:tc>
        <w:tc>
          <w:tcPr>
            <w:tcW w:w="2431" w:type="dxa"/>
            <w:shd w:val="clear" w:color="auto" w:fill="auto"/>
            <w:vAlign w:val="center"/>
          </w:tcPr>
          <w:p>
            <w:pPr>
              <w:jc w:val="right"/>
              <w:rPr>
                <w:rFonts w:ascii="宋体" w:hAnsi="宋体"/>
              </w:rPr>
            </w:pPr>
            <w:r>
              <w:rPr>
                <w:rFonts w:ascii="宋体" w:hAnsi="宋体"/>
              </w:rPr>
              <w:t>2.82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9</w:t>
            </w:r>
          </w:p>
        </w:tc>
        <w:tc>
          <w:tcPr>
            <w:tcW w:w="3159" w:type="dxa"/>
            <w:shd w:val="clear" w:color="auto" w:fill="auto"/>
            <w:vAlign w:val="center"/>
          </w:tcPr>
          <w:p>
            <w:pPr>
              <w:rPr>
                <w:rFonts w:ascii="宋体" w:hAnsi="宋体"/>
                <w:szCs w:val="21"/>
              </w:rPr>
            </w:pPr>
            <w:r>
              <w:rPr>
                <w:rFonts w:ascii="宋体" w:hAnsi="宋体"/>
                <w:szCs w:val="21"/>
              </w:rPr>
              <w:t>24龙驰01</w:t>
            </w:r>
          </w:p>
        </w:tc>
        <w:tc>
          <w:tcPr>
            <w:tcW w:w="2693" w:type="dxa"/>
            <w:shd w:val="clear" w:color="auto" w:fill="auto"/>
            <w:vAlign w:val="center"/>
          </w:tcPr>
          <w:p>
            <w:pPr>
              <w:jc w:val="right"/>
              <w:rPr>
                <w:rFonts w:ascii="宋体" w:hAnsi="宋体"/>
              </w:rPr>
            </w:pPr>
            <w:r>
              <w:rPr>
                <w:rFonts w:ascii="宋体" w:hAnsi="宋体"/>
              </w:rPr>
              <w:t>10,492,863.01</w:t>
            </w:r>
          </w:p>
        </w:tc>
        <w:tc>
          <w:tcPr>
            <w:tcW w:w="2431" w:type="dxa"/>
            <w:shd w:val="clear" w:color="auto" w:fill="auto"/>
            <w:vAlign w:val="center"/>
          </w:tcPr>
          <w:p>
            <w:pPr>
              <w:jc w:val="right"/>
              <w:rPr>
                <w:rFonts w:ascii="宋体" w:hAnsi="宋体"/>
              </w:rPr>
            </w:pPr>
            <w:r>
              <w:rPr>
                <w:rFonts w:ascii="宋体" w:hAnsi="宋体"/>
              </w:rPr>
              <w:t>2.75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10</w:t>
            </w:r>
          </w:p>
        </w:tc>
        <w:tc>
          <w:tcPr>
            <w:tcW w:w="3159" w:type="dxa"/>
            <w:shd w:val="clear" w:color="auto" w:fill="auto"/>
            <w:vAlign w:val="center"/>
          </w:tcPr>
          <w:p>
            <w:pPr>
              <w:rPr>
                <w:rFonts w:ascii="宋体" w:hAnsi="宋体"/>
                <w:szCs w:val="21"/>
              </w:rPr>
            </w:pPr>
            <w:r>
              <w:rPr>
                <w:rFonts w:ascii="宋体" w:hAnsi="宋体"/>
                <w:szCs w:val="21"/>
              </w:rPr>
              <w:t>24新津城乡MTN001A</w:t>
            </w:r>
          </w:p>
        </w:tc>
        <w:tc>
          <w:tcPr>
            <w:tcW w:w="2693" w:type="dxa"/>
            <w:shd w:val="clear" w:color="auto" w:fill="auto"/>
            <w:vAlign w:val="center"/>
          </w:tcPr>
          <w:p>
            <w:pPr>
              <w:jc w:val="right"/>
              <w:rPr>
                <w:rFonts w:ascii="宋体" w:hAnsi="宋体"/>
              </w:rPr>
            </w:pPr>
            <w:r>
              <w:rPr>
                <w:rFonts w:ascii="宋体" w:hAnsi="宋体"/>
              </w:rPr>
              <w:t>10,475,256.83</w:t>
            </w:r>
          </w:p>
        </w:tc>
        <w:tc>
          <w:tcPr>
            <w:tcW w:w="2431" w:type="dxa"/>
            <w:shd w:val="clear" w:color="auto" w:fill="auto"/>
            <w:vAlign w:val="center"/>
          </w:tcPr>
          <w:p>
            <w:pPr>
              <w:jc w:val="right"/>
              <w:rPr>
                <w:rFonts w:ascii="宋体" w:hAnsi="宋体"/>
              </w:rPr>
            </w:pPr>
            <w:bookmarkStart w:id="3" w:name="OLE_LINK5"/>
            <w:bookmarkStart w:id="4" w:name="OLE_LINK6"/>
            <w:r>
              <w:rPr>
                <w:rFonts w:ascii="宋体" w:hAnsi="宋体"/>
              </w:rPr>
              <w:t>2.74</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注：前十项资产明细仅包含证券投资、场外投资，不包含银行存款、存出保证金、清算备付金等资产。</w:t>
      </w:r>
    </w:p>
    <w:p>
      <w:pPr>
        <w:pStyle w:val="40"/>
        <w:rPr>
          <w:highlight w:val="none"/>
        </w:rPr>
      </w:pPr>
      <w:r>
        <w:rPr>
          <w:highlight w:val="none"/>
        </w:rPr>
        <w:t>托管人报告</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1</w:t>
      </w:r>
      <w:r>
        <w:rPr>
          <w:rFonts w:hint="eastAsia" w:ascii="宋体" w:hAnsi="宋体"/>
          <w:szCs w:val="21"/>
          <w:highlight w:val="none"/>
        </w:rPr>
        <w:t>）托管资产保管</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托管资产独立于</w:t>
      </w:r>
      <w:r>
        <w:rPr>
          <w:rFonts w:hint="eastAsia" w:ascii="宋体" w:hAnsi="宋体"/>
          <w:szCs w:val="21"/>
          <w:highlight w:val="none"/>
          <w:lang w:val="en-US" w:eastAsia="zh-CN"/>
        </w:rPr>
        <w:t>招商银行</w:t>
      </w:r>
      <w:r>
        <w:rPr>
          <w:rFonts w:hint="eastAsia" w:ascii="宋体" w:hAnsi="宋体"/>
          <w:szCs w:val="21"/>
          <w:highlight w:val="none"/>
        </w:rPr>
        <w:t>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2</w:t>
      </w:r>
      <w:r>
        <w:rPr>
          <w:rFonts w:hint="eastAsia" w:ascii="宋体" w:hAnsi="宋体"/>
          <w:szCs w:val="21"/>
          <w:highlight w:val="none"/>
        </w:rPr>
        <w:t>）会计核算和估值</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我行按照与四川银行股份有限公司在托管协议中约定的统一记账方法和会计处理原则，独立地设置、登录和保管本产品的全套账册，进行会计核算和资产估值。</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3</w:t>
      </w:r>
      <w:r>
        <w:rPr>
          <w:rFonts w:hint="eastAsia" w:ascii="宋体" w:hAnsi="宋体"/>
          <w:szCs w:val="21"/>
          <w:highlight w:val="none"/>
        </w:rPr>
        <w:t>）定期核对有关数据</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我行根据托管协议约定与四川银行股份有限公司定期进行账务核对。</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4</w:t>
      </w:r>
      <w:r>
        <w:rPr>
          <w:rFonts w:hint="eastAsia" w:ascii="宋体" w:hAnsi="宋体"/>
          <w:szCs w:val="21"/>
          <w:highlight w:val="none"/>
        </w:rPr>
        <w:t>）投资监督</w:t>
      </w:r>
    </w:p>
    <w:p>
      <w:pPr>
        <w:spacing w:line="360" w:lineRule="auto"/>
        <w:ind w:right="-107" w:rightChars="-51" w:firstLine="420" w:firstLineChars="200"/>
        <w:jc w:val="left"/>
        <w:rPr>
          <w:rFonts w:hint="eastAsia" w:ascii="宋体" w:hAnsi="宋体"/>
          <w:szCs w:val="21"/>
          <w:highlight w:val="none"/>
        </w:rPr>
      </w:pPr>
      <w:r>
        <w:rPr>
          <w:rFonts w:hint="eastAsia" w:ascii="宋体" w:hAnsi="宋体"/>
          <w:szCs w:val="21"/>
          <w:highlight w:val="none"/>
          <w:lang w:val="en-US" w:eastAsia="zh-CN"/>
        </w:rPr>
        <w:t>招商银行</w:t>
      </w:r>
      <w:r>
        <w:rPr>
          <w:rFonts w:hint="eastAsia" w:ascii="宋体" w:hAnsi="宋体"/>
          <w:szCs w:val="21"/>
          <w:highlight w:val="none"/>
        </w:rPr>
        <w:t>根据法规、托管协议以及双方约定的投资监督条款，对投资运作情况进行监督。</w:t>
      </w:r>
    </w:p>
    <w:p>
      <w:pPr>
        <w:spacing w:line="360" w:lineRule="auto"/>
        <w:ind w:right="-107" w:rightChars="-51" w:firstLine="420" w:firstLineChars="200"/>
        <w:jc w:val="left"/>
        <w:rPr>
          <w:rFonts w:hint="eastAsia" w:ascii="宋体" w:hAnsi="宋体"/>
          <w:szCs w:val="21"/>
          <w:highlight w:val="none"/>
        </w:rPr>
      </w:pPr>
      <w:r>
        <w:rPr>
          <w:rFonts w:hint="eastAsia" w:ascii="宋体" w:hAnsi="宋体"/>
          <w:szCs w:val="21"/>
          <w:highlight w:val="none"/>
        </w:rPr>
        <w:t>托管人声明：</w:t>
      </w:r>
      <w:r>
        <w:rPr>
          <w:rFonts w:hint="eastAsia" w:ascii="宋体" w:hAnsi="宋体"/>
          <w:szCs w:val="21"/>
          <w:highlight w:val="none"/>
          <w:lang w:val="en-US" w:eastAsia="zh-CN"/>
        </w:rPr>
        <w:t>招商银行</w:t>
      </w:r>
      <w:r>
        <w:rPr>
          <w:rFonts w:hint="eastAsia" w:ascii="宋体" w:hAnsi="宋体"/>
          <w:szCs w:val="21"/>
          <w:highlight w:val="none"/>
        </w:rPr>
        <w:t>具备完善的公司治理结构、内部稽核监控制度和风险控制制度，我行在</w:t>
      </w:r>
    </w:p>
    <w:p>
      <w:pPr>
        <w:spacing w:line="360" w:lineRule="auto"/>
        <w:ind w:right="-107" w:rightChars="-51"/>
        <w:jc w:val="left"/>
        <w:rPr>
          <w:rFonts w:ascii="宋体" w:hAnsi="宋体"/>
          <w:szCs w:val="21"/>
          <w:highlight w:val="none"/>
        </w:rPr>
      </w:pPr>
      <w:r>
        <w:rPr>
          <w:rFonts w:hint="eastAsia" w:ascii="宋体" w:hAnsi="宋体"/>
          <w:szCs w:val="21"/>
          <w:highlight w:val="none"/>
        </w:rPr>
        <w:t>四川银行定开系列6个月5号净值型理财产品托管的过程中，严格遵守有关法律法规、托管协议的规定，尽职尽责地履行托管义务并安全保管托管资产。</w:t>
      </w:r>
    </w:p>
    <w:p>
      <w:pPr>
        <w:pStyle w:val="40"/>
        <w:rPr>
          <w:highlight w:val="none"/>
        </w:rPr>
      </w:pPr>
      <w:r>
        <w:rPr>
          <w:rFonts w:hint="eastAsia"/>
          <w:highlight w:val="none"/>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本报告期末，本产品投资的</w:t>
      </w:r>
      <w:r>
        <w:rPr>
          <w:rFonts w:hint="eastAsia" w:ascii="宋体" w:hAnsi="宋体"/>
          <w:szCs w:val="21"/>
        </w:rPr>
        <w:t>21攀国投</w:t>
      </w:r>
      <w:r>
        <w:rPr>
          <w:rFonts w:hint="eastAsia" w:asciiTheme="minorEastAsia" w:hAnsiTheme="minorEastAsia" w:eastAsiaTheme="minorEastAsia"/>
          <w:szCs w:val="21"/>
        </w:rPr>
        <w:t>属于关联交易。</w:t>
      </w:r>
    </w:p>
    <w:p>
      <w:pPr>
        <w:jc w:val="left"/>
        <w:rPr>
          <w:rFonts w:asciiTheme="minorEastAsia" w:hAnsiTheme="minorEastAsia" w:eastAsiaTheme="minorEastAsia"/>
          <w:szCs w:val="21"/>
        </w:rPr>
      </w:pPr>
      <w:bookmarkStart w:id="5" w:name="_GoBack"/>
      <w:bookmarkEnd w:id="5"/>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2025-03-31</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54BC"/>
    <w:rsid w:val="000957D7"/>
    <w:rsid w:val="00096252"/>
    <w:rsid w:val="000A0247"/>
    <w:rsid w:val="000A1C35"/>
    <w:rsid w:val="000B049B"/>
    <w:rsid w:val="000B12F7"/>
    <w:rsid w:val="000B65EC"/>
    <w:rsid w:val="000C0357"/>
    <w:rsid w:val="000C5B47"/>
    <w:rsid w:val="000D078C"/>
    <w:rsid w:val="000D4CEA"/>
    <w:rsid w:val="000D5DDE"/>
    <w:rsid w:val="000E103E"/>
    <w:rsid w:val="000E2280"/>
    <w:rsid w:val="000E5BF4"/>
    <w:rsid w:val="000E7303"/>
    <w:rsid w:val="000E7594"/>
    <w:rsid w:val="000E7EE4"/>
    <w:rsid w:val="000F1CA3"/>
    <w:rsid w:val="000F1EB8"/>
    <w:rsid w:val="000F79B4"/>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9201F"/>
    <w:rsid w:val="00196688"/>
    <w:rsid w:val="001A6A60"/>
    <w:rsid w:val="001A6DCE"/>
    <w:rsid w:val="001B0D81"/>
    <w:rsid w:val="001B2258"/>
    <w:rsid w:val="001B3575"/>
    <w:rsid w:val="001B43F0"/>
    <w:rsid w:val="001C4ACD"/>
    <w:rsid w:val="001C5999"/>
    <w:rsid w:val="001D364E"/>
    <w:rsid w:val="001E1A37"/>
    <w:rsid w:val="001E27AF"/>
    <w:rsid w:val="001E2A08"/>
    <w:rsid w:val="001E4B7A"/>
    <w:rsid w:val="001E7354"/>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85198"/>
    <w:rsid w:val="0028673C"/>
    <w:rsid w:val="00291837"/>
    <w:rsid w:val="00293CED"/>
    <w:rsid w:val="002A1060"/>
    <w:rsid w:val="002A6967"/>
    <w:rsid w:val="002B18D0"/>
    <w:rsid w:val="002B1BF7"/>
    <w:rsid w:val="002B2425"/>
    <w:rsid w:val="002B5C75"/>
    <w:rsid w:val="002B6AB0"/>
    <w:rsid w:val="002B6D92"/>
    <w:rsid w:val="002C0D52"/>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70E3"/>
    <w:rsid w:val="003217E4"/>
    <w:rsid w:val="003245FC"/>
    <w:rsid w:val="003350C8"/>
    <w:rsid w:val="00336953"/>
    <w:rsid w:val="0034174F"/>
    <w:rsid w:val="00347E59"/>
    <w:rsid w:val="0035009E"/>
    <w:rsid w:val="00351099"/>
    <w:rsid w:val="00352670"/>
    <w:rsid w:val="0035379B"/>
    <w:rsid w:val="003545C4"/>
    <w:rsid w:val="00354AB0"/>
    <w:rsid w:val="00355F58"/>
    <w:rsid w:val="00362921"/>
    <w:rsid w:val="003629D6"/>
    <w:rsid w:val="0036621F"/>
    <w:rsid w:val="00370236"/>
    <w:rsid w:val="00370D1C"/>
    <w:rsid w:val="0037107A"/>
    <w:rsid w:val="0037163C"/>
    <w:rsid w:val="00372961"/>
    <w:rsid w:val="00373861"/>
    <w:rsid w:val="0037574C"/>
    <w:rsid w:val="00380B72"/>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15C27"/>
    <w:rsid w:val="004169FD"/>
    <w:rsid w:val="00420876"/>
    <w:rsid w:val="0042283D"/>
    <w:rsid w:val="004332EF"/>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B6EF6"/>
    <w:rsid w:val="004C126D"/>
    <w:rsid w:val="004C2C74"/>
    <w:rsid w:val="004C439A"/>
    <w:rsid w:val="004C56A8"/>
    <w:rsid w:val="004C689C"/>
    <w:rsid w:val="004D2B6B"/>
    <w:rsid w:val="004D2D2A"/>
    <w:rsid w:val="004E2CFE"/>
    <w:rsid w:val="004E344E"/>
    <w:rsid w:val="004E4E80"/>
    <w:rsid w:val="004E53DD"/>
    <w:rsid w:val="004F50D0"/>
    <w:rsid w:val="004F55AB"/>
    <w:rsid w:val="004F5803"/>
    <w:rsid w:val="004F64A1"/>
    <w:rsid w:val="00500777"/>
    <w:rsid w:val="00501D92"/>
    <w:rsid w:val="00503B75"/>
    <w:rsid w:val="005066A6"/>
    <w:rsid w:val="00511DB9"/>
    <w:rsid w:val="00513688"/>
    <w:rsid w:val="00513763"/>
    <w:rsid w:val="00524F71"/>
    <w:rsid w:val="00527A49"/>
    <w:rsid w:val="005310A6"/>
    <w:rsid w:val="0053595B"/>
    <w:rsid w:val="00537901"/>
    <w:rsid w:val="00540DE6"/>
    <w:rsid w:val="00542A91"/>
    <w:rsid w:val="0054387B"/>
    <w:rsid w:val="005465B6"/>
    <w:rsid w:val="00554065"/>
    <w:rsid w:val="00555D8D"/>
    <w:rsid w:val="00560EAF"/>
    <w:rsid w:val="00572059"/>
    <w:rsid w:val="00573E83"/>
    <w:rsid w:val="005775FA"/>
    <w:rsid w:val="00583550"/>
    <w:rsid w:val="00591622"/>
    <w:rsid w:val="005947ED"/>
    <w:rsid w:val="00596277"/>
    <w:rsid w:val="005B6C71"/>
    <w:rsid w:val="005C208D"/>
    <w:rsid w:val="005C6300"/>
    <w:rsid w:val="005D0C97"/>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5902"/>
    <w:rsid w:val="006664D5"/>
    <w:rsid w:val="00667447"/>
    <w:rsid w:val="0067267E"/>
    <w:rsid w:val="00675178"/>
    <w:rsid w:val="006761C2"/>
    <w:rsid w:val="006771FF"/>
    <w:rsid w:val="00682943"/>
    <w:rsid w:val="00683D3B"/>
    <w:rsid w:val="006876F4"/>
    <w:rsid w:val="00692A30"/>
    <w:rsid w:val="00693EF1"/>
    <w:rsid w:val="00697DB7"/>
    <w:rsid w:val="006A307A"/>
    <w:rsid w:val="006B0B91"/>
    <w:rsid w:val="006B24E7"/>
    <w:rsid w:val="006B554E"/>
    <w:rsid w:val="006B5B87"/>
    <w:rsid w:val="006C21A8"/>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710F9C"/>
    <w:rsid w:val="00711860"/>
    <w:rsid w:val="00714D1B"/>
    <w:rsid w:val="00717029"/>
    <w:rsid w:val="00720312"/>
    <w:rsid w:val="0072202C"/>
    <w:rsid w:val="0072288E"/>
    <w:rsid w:val="00730BF8"/>
    <w:rsid w:val="007313AE"/>
    <w:rsid w:val="0073667E"/>
    <w:rsid w:val="00740012"/>
    <w:rsid w:val="00741F34"/>
    <w:rsid w:val="00745B3A"/>
    <w:rsid w:val="0074780F"/>
    <w:rsid w:val="007502BB"/>
    <w:rsid w:val="007520B7"/>
    <w:rsid w:val="00752D2E"/>
    <w:rsid w:val="007539EE"/>
    <w:rsid w:val="00756CFF"/>
    <w:rsid w:val="00762F4A"/>
    <w:rsid w:val="007633CA"/>
    <w:rsid w:val="007663F0"/>
    <w:rsid w:val="00774DB3"/>
    <w:rsid w:val="00777511"/>
    <w:rsid w:val="00782BD3"/>
    <w:rsid w:val="00783A2D"/>
    <w:rsid w:val="0078701B"/>
    <w:rsid w:val="0079003D"/>
    <w:rsid w:val="00790F54"/>
    <w:rsid w:val="0079349C"/>
    <w:rsid w:val="007957D3"/>
    <w:rsid w:val="007A41FE"/>
    <w:rsid w:val="007A4FF1"/>
    <w:rsid w:val="007A5C4C"/>
    <w:rsid w:val="007A6008"/>
    <w:rsid w:val="007A66E8"/>
    <w:rsid w:val="007A67A8"/>
    <w:rsid w:val="007A6D6E"/>
    <w:rsid w:val="007C00B5"/>
    <w:rsid w:val="007C271F"/>
    <w:rsid w:val="007D4695"/>
    <w:rsid w:val="007D5F69"/>
    <w:rsid w:val="007D7D2D"/>
    <w:rsid w:val="007E24A8"/>
    <w:rsid w:val="007E6BBB"/>
    <w:rsid w:val="007F261A"/>
    <w:rsid w:val="007F4389"/>
    <w:rsid w:val="00805841"/>
    <w:rsid w:val="008067E9"/>
    <w:rsid w:val="008138C2"/>
    <w:rsid w:val="008207FC"/>
    <w:rsid w:val="00824A1A"/>
    <w:rsid w:val="0082723D"/>
    <w:rsid w:val="00830FB1"/>
    <w:rsid w:val="008318D4"/>
    <w:rsid w:val="00835C56"/>
    <w:rsid w:val="00835F60"/>
    <w:rsid w:val="0083628C"/>
    <w:rsid w:val="00840509"/>
    <w:rsid w:val="00840E2A"/>
    <w:rsid w:val="00841B85"/>
    <w:rsid w:val="0084484A"/>
    <w:rsid w:val="00845EAD"/>
    <w:rsid w:val="008509BD"/>
    <w:rsid w:val="008518FE"/>
    <w:rsid w:val="008631C4"/>
    <w:rsid w:val="00863246"/>
    <w:rsid w:val="008647E2"/>
    <w:rsid w:val="00865A3B"/>
    <w:rsid w:val="00867C1C"/>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200D9"/>
    <w:rsid w:val="00924290"/>
    <w:rsid w:val="0093136C"/>
    <w:rsid w:val="009361E0"/>
    <w:rsid w:val="00940851"/>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F30"/>
    <w:rsid w:val="009E7949"/>
    <w:rsid w:val="009F1173"/>
    <w:rsid w:val="009F2CE7"/>
    <w:rsid w:val="009F6300"/>
    <w:rsid w:val="00A03DAA"/>
    <w:rsid w:val="00A053A7"/>
    <w:rsid w:val="00A07072"/>
    <w:rsid w:val="00A1398C"/>
    <w:rsid w:val="00A16209"/>
    <w:rsid w:val="00A179D8"/>
    <w:rsid w:val="00A17F78"/>
    <w:rsid w:val="00A217B1"/>
    <w:rsid w:val="00A226D6"/>
    <w:rsid w:val="00A326C7"/>
    <w:rsid w:val="00A34E4F"/>
    <w:rsid w:val="00A36005"/>
    <w:rsid w:val="00A36F6E"/>
    <w:rsid w:val="00A40FDD"/>
    <w:rsid w:val="00A43B1A"/>
    <w:rsid w:val="00A476E2"/>
    <w:rsid w:val="00A52E27"/>
    <w:rsid w:val="00A66B88"/>
    <w:rsid w:val="00A7059A"/>
    <w:rsid w:val="00A73CCB"/>
    <w:rsid w:val="00A754BF"/>
    <w:rsid w:val="00A80900"/>
    <w:rsid w:val="00A9256F"/>
    <w:rsid w:val="00A94073"/>
    <w:rsid w:val="00A95724"/>
    <w:rsid w:val="00A97609"/>
    <w:rsid w:val="00AA0964"/>
    <w:rsid w:val="00AA0D73"/>
    <w:rsid w:val="00AB0553"/>
    <w:rsid w:val="00AB7F1E"/>
    <w:rsid w:val="00AC0253"/>
    <w:rsid w:val="00AC760B"/>
    <w:rsid w:val="00AD0E90"/>
    <w:rsid w:val="00AD267E"/>
    <w:rsid w:val="00AD5950"/>
    <w:rsid w:val="00AE7B09"/>
    <w:rsid w:val="00AF4B02"/>
    <w:rsid w:val="00AF5C38"/>
    <w:rsid w:val="00B01D6A"/>
    <w:rsid w:val="00B0308C"/>
    <w:rsid w:val="00B10E2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A2FE9"/>
    <w:rsid w:val="00BB2C8E"/>
    <w:rsid w:val="00BB3836"/>
    <w:rsid w:val="00BC6F6D"/>
    <w:rsid w:val="00BC79AA"/>
    <w:rsid w:val="00BC7BE2"/>
    <w:rsid w:val="00BD01DA"/>
    <w:rsid w:val="00BD1DC0"/>
    <w:rsid w:val="00BE1D4B"/>
    <w:rsid w:val="00BE2BF0"/>
    <w:rsid w:val="00BE491C"/>
    <w:rsid w:val="00BE4F1C"/>
    <w:rsid w:val="00BE6F0A"/>
    <w:rsid w:val="00BE7278"/>
    <w:rsid w:val="00BF2E9E"/>
    <w:rsid w:val="00BF5021"/>
    <w:rsid w:val="00BF6960"/>
    <w:rsid w:val="00C00573"/>
    <w:rsid w:val="00C01D6D"/>
    <w:rsid w:val="00C0394B"/>
    <w:rsid w:val="00C101D8"/>
    <w:rsid w:val="00C15724"/>
    <w:rsid w:val="00C16678"/>
    <w:rsid w:val="00C21599"/>
    <w:rsid w:val="00C244B2"/>
    <w:rsid w:val="00C30868"/>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5096"/>
    <w:rsid w:val="00D2614B"/>
    <w:rsid w:val="00D3035E"/>
    <w:rsid w:val="00D30B4B"/>
    <w:rsid w:val="00D31FD3"/>
    <w:rsid w:val="00D3496C"/>
    <w:rsid w:val="00D3643E"/>
    <w:rsid w:val="00D40841"/>
    <w:rsid w:val="00D411DB"/>
    <w:rsid w:val="00D452EA"/>
    <w:rsid w:val="00D57ABE"/>
    <w:rsid w:val="00D60D0A"/>
    <w:rsid w:val="00D63034"/>
    <w:rsid w:val="00D664DF"/>
    <w:rsid w:val="00D72C48"/>
    <w:rsid w:val="00D7572D"/>
    <w:rsid w:val="00D76EC7"/>
    <w:rsid w:val="00D806F7"/>
    <w:rsid w:val="00D90E8B"/>
    <w:rsid w:val="00D964B6"/>
    <w:rsid w:val="00DA06CF"/>
    <w:rsid w:val="00DA2107"/>
    <w:rsid w:val="00DA482F"/>
    <w:rsid w:val="00DA4F8D"/>
    <w:rsid w:val="00DA567B"/>
    <w:rsid w:val="00DA700A"/>
    <w:rsid w:val="00DB10DE"/>
    <w:rsid w:val="00DC0BCD"/>
    <w:rsid w:val="00DC63EA"/>
    <w:rsid w:val="00DC7755"/>
    <w:rsid w:val="00DD0776"/>
    <w:rsid w:val="00DD2D10"/>
    <w:rsid w:val="00DD493A"/>
    <w:rsid w:val="00DE0BA7"/>
    <w:rsid w:val="00DF1B60"/>
    <w:rsid w:val="00DF64FE"/>
    <w:rsid w:val="00DF70DD"/>
    <w:rsid w:val="00E05CBD"/>
    <w:rsid w:val="00E133C1"/>
    <w:rsid w:val="00E13A22"/>
    <w:rsid w:val="00E22023"/>
    <w:rsid w:val="00E24F6C"/>
    <w:rsid w:val="00E25FBD"/>
    <w:rsid w:val="00E27C54"/>
    <w:rsid w:val="00E33DFC"/>
    <w:rsid w:val="00E36DC0"/>
    <w:rsid w:val="00E40C11"/>
    <w:rsid w:val="00E504F9"/>
    <w:rsid w:val="00E5307C"/>
    <w:rsid w:val="00E5314E"/>
    <w:rsid w:val="00E538A2"/>
    <w:rsid w:val="00E65FF2"/>
    <w:rsid w:val="00E67113"/>
    <w:rsid w:val="00E67390"/>
    <w:rsid w:val="00E732A5"/>
    <w:rsid w:val="00E757CD"/>
    <w:rsid w:val="00E76293"/>
    <w:rsid w:val="00E773EF"/>
    <w:rsid w:val="00E841D0"/>
    <w:rsid w:val="00E84CB6"/>
    <w:rsid w:val="00E8759A"/>
    <w:rsid w:val="00E915A7"/>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4D29"/>
    <w:rsid w:val="00F35C2C"/>
    <w:rsid w:val="00F36C13"/>
    <w:rsid w:val="00F44F0C"/>
    <w:rsid w:val="00F45974"/>
    <w:rsid w:val="00F45EFD"/>
    <w:rsid w:val="00F51B8A"/>
    <w:rsid w:val="00F53A4B"/>
    <w:rsid w:val="00F64D16"/>
    <w:rsid w:val="00F65B50"/>
    <w:rsid w:val="00F66D00"/>
    <w:rsid w:val="00F67B3D"/>
    <w:rsid w:val="00F733D2"/>
    <w:rsid w:val="00F87CF1"/>
    <w:rsid w:val="00F906DF"/>
    <w:rsid w:val="00F934DE"/>
    <w:rsid w:val="00F941F7"/>
    <w:rsid w:val="00F95832"/>
    <w:rsid w:val="00F9693E"/>
    <w:rsid w:val="00F973AF"/>
    <w:rsid w:val="00F9745A"/>
    <w:rsid w:val="00FA5CE9"/>
    <w:rsid w:val="00FA6695"/>
    <w:rsid w:val="00FA794C"/>
    <w:rsid w:val="00FB1C77"/>
    <w:rsid w:val="00FB3F6A"/>
    <w:rsid w:val="00FD2905"/>
    <w:rsid w:val="00FE1CEA"/>
    <w:rsid w:val="00FE3C8E"/>
    <w:rsid w:val="00FE3E86"/>
    <w:rsid w:val="00FE4490"/>
    <w:rsid w:val="00FE51F2"/>
    <w:rsid w:val="00FE52AD"/>
    <w:rsid w:val="00FE5547"/>
    <w:rsid w:val="00FF15E9"/>
    <w:rsid w:val="00FF6973"/>
    <w:rsid w:val="0359290F"/>
    <w:rsid w:val="04034F27"/>
    <w:rsid w:val="134C76E8"/>
    <w:rsid w:val="22F80CAF"/>
    <w:rsid w:val="23AB2840"/>
    <w:rsid w:val="23C663FF"/>
    <w:rsid w:val="2FC23DC4"/>
    <w:rsid w:val="339E2F39"/>
    <w:rsid w:val="38A16717"/>
    <w:rsid w:val="46A87316"/>
    <w:rsid w:val="512D246A"/>
    <w:rsid w:val="54B27197"/>
    <w:rsid w:val="5A9E6B68"/>
    <w:rsid w:val="769122E5"/>
    <w:rsid w:val="789A33D8"/>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iPriority="22" w:name="Strong"/>
    <w:lsdException w:qFormat="1" w:uiPriority="20" w:name="Emphasis"/>
    <w:lsdException w:qFormat="1" w:unhideWhenUsed="0" w:uiPriority="0" w:semiHidden="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字符"/>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字符"/>
    <w:link w:val="12"/>
    <w:qFormat/>
    <w:uiPriority w:val="0"/>
    <w:rPr>
      <w:rFonts w:ascii="Cambria" w:hAnsi="Cambria" w:eastAsia="宋体" w:cs="Times New Roman"/>
      <w:b/>
      <w:kern w:val="28"/>
      <w:sz w:val="24"/>
      <w:szCs w:val="32"/>
    </w:rPr>
  </w:style>
  <w:style w:type="character" w:customStyle="1" w:styleId="26">
    <w:name w:val="标题 1 字符"/>
    <w:link w:val="2"/>
    <w:qFormat/>
    <w:uiPriority w:val="9"/>
    <w:rPr>
      <w:b/>
      <w:bCs/>
      <w:kern w:val="44"/>
      <w:sz w:val="44"/>
      <w:szCs w:val="44"/>
    </w:rPr>
  </w:style>
  <w:style w:type="character" w:customStyle="1" w:styleId="27">
    <w:name w:val="标题 2 字符"/>
    <w:link w:val="3"/>
    <w:qFormat/>
    <w:uiPriority w:val="9"/>
    <w:rPr>
      <w:rFonts w:ascii="Cambria" w:hAnsi="Cambria" w:eastAsia="宋体" w:cs="Times New Roman"/>
      <w:b/>
      <w:bCs/>
      <w:sz w:val="32"/>
      <w:szCs w:val="32"/>
    </w:rPr>
  </w:style>
  <w:style w:type="character" w:customStyle="1" w:styleId="28">
    <w:name w:val="标题 字符"/>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字符"/>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字符"/>
    <w:link w:val="13"/>
    <w:qFormat/>
    <w:uiPriority w:val="0"/>
    <w:rPr>
      <w:kern w:val="2"/>
      <w:sz w:val="18"/>
      <w:szCs w:val="18"/>
    </w:rPr>
  </w:style>
  <w:style w:type="character" w:customStyle="1" w:styleId="48">
    <w:name w:val="日期 字符"/>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odes\FA&#22806;&#21253;-LU70\WbWeb\TBCoreV2\TBCore.Web\Report\Template\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C33ED8-1EE1-4735-B60D-886198643719}">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292</Words>
  <Characters>1665</Characters>
  <Lines>13</Lines>
  <Paragraphs>3</Paragraphs>
  <TotalTime>0</TotalTime>
  <ScaleCrop>false</ScaleCrop>
  <LinksUpToDate>false</LinksUpToDate>
  <CharactersWithSpaces>1954</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2020-01-07T12:08:00Z</dcterms:created>
  <dc:creator>yss</dc:creator>
  <cp:lastModifiedBy>Administrator</cp:lastModifiedBy>
  <cp:lastPrinted>2411-12-31T16:00:00Z</cp:lastPrinted>
  <dcterms:modified xsi:type="dcterms:W3CDTF">2025-02-07T10:40:35Z</dcterms:modified>
  <dc:title>gongGaoMingCheng</dc:title>
  <cp:revision>149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ED34D9402E1A4C98B96527F311C55F7A</vt:lpwstr>
  </property>
  <property fmtid="{D5CDD505-2E9C-101B-9397-08002B2CF9AE}" pid="4" name="Generator">
    <vt:lpwstr>NPOI</vt:lpwstr>
  </property>
  <property fmtid="{D5CDD505-2E9C-101B-9397-08002B2CF9AE}" pid="5" name="Generator Version">
    <vt:lpwstr>2.2.1</vt:lpwstr>
  </property>
</Properties>
</file>