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四川银行定开系列3个月4号净值型理财产品</w:t>
      </w:r>
    </w:p>
    <w:p>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515,670,200.00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9.87</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2025-04-01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698,281.82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2,857,952.72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517,784,100.90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1.0987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517,784,100.90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1.0987</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397,356,685.33</w:t>
            </w:r>
          </w:p>
        </w:tc>
        <w:tc>
          <w:tcPr>
            <w:tcW w:w="1749" w:type="dxa"/>
            <w:shd w:val="clear" w:color="auto" w:fill="auto"/>
            <w:vAlign w:val="center"/>
          </w:tcPr>
          <w:p>
            <w:pPr>
              <w:jc w:val="right"/>
            </w:pPr>
            <w:r>
              <w:t>75.84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377,815,429.72</w:t>
            </w:r>
          </w:p>
        </w:tc>
        <w:tc>
          <w:tcPr>
            <w:tcW w:w="1749" w:type="dxa"/>
            <w:shd w:val="clear" w:color="auto" w:fill="auto"/>
            <w:vAlign w:val="center"/>
          </w:tcPr>
          <w:p>
            <w:pPr>
              <w:jc w:val="right"/>
            </w:pPr>
            <w:r>
              <w:t>72.11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19,541,255.61</w:t>
            </w:r>
          </w:p>
        </w:tc>
        <w:tc>
          <w:tcPr>
            <w:tcW w:w="1749" w:type="dxa"/>
            <w:shd w:val="clear" w:color="auto" w:fill="auto"/>
            <w:vAlign w:val="center"/>
          </w:tcPr>
          <w:p>
            <w:pPr>
              <w:jc w:val="right"/>
            </w:pPr>
            <w:r>
              <w:t>3.73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118,036,147.98</w:t>
            </w:r>
          </w:p>
        </w:tc>
        <w:tc>
          <w:tcPr>
            <w:tcW w:w="1749" w:type="dxa"/>
            <w:shd w:val="clear" w:color="auto" w:fill="auto"/>
            <w:vAlign w:val="center"/>
          </w:tcPr>
          <w:p>
            <w:pPr>
              <w:jc w:val="right"/>
            </w:pPr>
            <w:r>
              <w:t>22.53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8,244,306.81</w:t>
            </w:r>
          </w:p>
        </w:tc>
        <w:tc>
          <w:tcPr>
            <w:tcW w:w="1749" w:type="dxa"/>
            <w:shd w:val="clear" w:color="auto" w:fill="auto"/>
            <w:vAlign w:val="center"/>
          </w:tcPr>
          <w:p>
            <w:pPr>
              <w:jc w:val="right"/>
            </w:pPr>
            <w:r>
              <w:t>1.57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308,876.18</w:t>
            </w:r>
          </w:p>
        </w:tc>
        <w:tc>
          <w:tcPr>
            <w:tcW w:w="1749" w:type="dxa"/>
            <w:shd w:val="clear" w:color="auto" w:fill="auto"/>
            <w:vAlign w:val="center"/>
          </w:tcPr>
          <w:p>
            <w:pPr>
              <w:jc w:val="right"/>
            </w:pPr>
            <w:r>
              <w:t>0.06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523,946,016.30</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118,036,147.98</w:t>
            </w:r>
          </w:p>
        </w:tc>
        <w:tc>
          <w:tcPr>
            <w:tcW w:w="2431" w:type="dxa"/>
            <w:shd w:val="clear" w:color="auto" w:fill="auto"/>
            <w:vAlign w:val="center"/>
          </w:tcPr>
          <w:p>
            <w:pPr>
              <w:jc w:val="right"/>
            </w:pPr>
            <w:bookmarkStart w:id="3" w:name="OLE_LINK6"/>
            <w:bookmarkEnd w:id="3"/>
            <w:bookmarkStart w:id="4" w:name="OLE_LINK5"/>
            <w:bookmarkEnd w:id="4"/>
            <w:r>
              <w:rPr>
                <w:rFonts w:hint="eastAsia"/>
              </w:rPr>
              <w:t>22.80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pPr>
              <w:ind w:hanging="1"/>
              <w:jc w:val="right"/>
            </w:pPr>
            <w:r>
              <w:rPr>
                <w:b w:val="0"/>
                <w:i w:val="0"/>
                <w:strike w:val="0"/>
                <w:u w:val="none"/>
              </w:rPr>
              <w:t>31,830,493.15</w:t>
            </w:r>
          </w:p>
        </w:tc>
        <w:tc>
          <w:tcPr>
            <w:tcW w:w="2431" w:type="dxa"/>
            <w:shd w:val="clear" w:color="auto" w:fill="auto"/>
            <w:vAlign w:val="center"/>
          </w:tcPr>
          <w:p>
            <w:pPr>
              <w:ind w:hanging="1"/>
              <w:jc w:val="right"/>
            </w:pPr>
            <w:r>
              <w:rPr>
                <w:rFonts w:hint="eastAsia"/>
                <w:b w:val="0"/>
                <w:i w:val="0"/>
                <w:strike w:val="0"/>
                <w:u w:val="none"/>
              </w:rPr>
              <w:t>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30,405,090.41</w:t>
            </w:r>
          </w:p>
        </w:tc>
        <w:tc>
          <w:tcPr>
            <w:tcW w:w="2431" w:type="dxa"/>
            <w:shd w:val="clear" w:color="auto" w:fill="auto"/>
            <w:vAlign w:val="center"/>
          </w:tcPr>
          <w:p>
            <w:pPr>
              <w:ind w:hanging="1"/>
              <w:jc w:val="right"/>
            </w:pPr>
            <w:r>
              <w:rPr>
                <w:rFonts w:hint="eastAsia"/>
                <w:b w:val="0"/>
                <w:i w:val="0"/>
                <w:strike w:val="0"/>
                <w:u w:val="none"/>
              </w:rPr>
              <w:t>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23鼎兴实业MTN003</w:t>
            </w:r>
          </w:p>
        </w:tc>
        <w:tc>
          <w:tcPr>
            <w:tcW w:w="2693" w:type="dxa"/>
            <w:shd w:val="clear" w:color="auto" w:fill="auto"/>
            <w:vAlign w:val="center"/>
          </w:tcPr>
          <w:p>
            <w:pPr>
              <w:ind w:hanging="1"/>
              <w:jc w:val="right"/>
            </w:pPr>
            <w:r>
              <w:rPr>
                <w:b w:val="0"/>
                <w:i w:val="0"/>
                <w:strike w:val="0"/>
                <w:u w:val="none"/>
              </w:rPr>
              <w:t>21,067,835.62</w:t>
            </w:r>
          </w:p>
        </w:tc>
        <w:tc>
          <w:tcPr>
            <w:tcW w:w="2431" w:type="dxa"/>
            <w:shd w:val="clear" w:color="auto" w:fill="auto"/>
            <w:vAlign w:val="center"/>
          </w:tcPr>
          <w:p>
            <w:pPr>
              <w:ind w:hanging="1"/>
              <w:jc w:val="right"/>
            </w:pPr>
            <w:r>
              <w:rPr>
                <w:rFonts w:hint="eastAsia"/>
                <w:b w:val="0"/>
                <w:i w:val="0"/>
                <w:strike w:val="0"/>
                <w:u w:val="none"/>
              </w:rPr>
              <w:t>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pPr>
              <w:ind w:hanging="1"/>
              <w:jc w:val="right"/>
            </w:pPr>
            <w:r>
              <w:rPr>
                <w:b w:val="0"/>
                <w:i w:val="0"/>
                <w:strike w:val="0"/>
                <w:u w:val="none"/>
              </w:rPr>
              <w:t>20,954,602.74</w:t>
            </w:r>
          </w:p>
        </w:tc>
        <w:tc>
          <w:tcPr>
            <w:tcW w:w="2431" w:type="dxa"/>
            <w:shd w:val="clear" w:color="auto" w:fill="auto"/>
            <w:vAlign w:val="center"/>
          </w:tcPr>
          <w:p>
            <w:pPr>
              <w:ind w:hanging="1"/>
              <w:jc w:val="right"/>
            </w:pPr>
            <w:r>
              <w:rPr>
                <w:rFonts w:hint="eastAsia"/>
                <w:b w:val="0"/>
                <w:i w:val="0"/>
                <w:strike w:val="0"/>
                <w:u w:val="none"/>
              </w:rPr>
              <w:t>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24泸州产业PPN001</w:t>
            </w:r>
          </w:p>
        </w:tc>
        <w:tc>
          <w:tcPr>
            <w:tcW w:w="2693" w:type="dxa"/>
            <w:shd w:val="clear" w:color="auto" w:fill="auto"/>
            <w:vAlign w:val="center"/>
          </w:tcPr>
          <w:p>
            <w:pPr>
              <w:ind w:hanging="1"/>
              <w:jc w:val="right"/>
            </w:pPr>
            <w:r>
              <w:rPr>
                <w:b w:val="0"/>
                <w:i w:val="0"/>
                <w:strike w:val="0"/>
                <w:u w:val="none"/>
              </w:rPr>
              <w:t>20,768,191.78</w:t>
            </w:r>
          </w:p>
        </w:tc>
        <w:tc>
          <w:tcPr>
            <w:tcW w:w="2431" w:type="dxa"/>
            <w:shd w:val="clear" w:color="auto" w:fill="auto"/>
            <w:vAlign w:val="center"/>
          </w:tcPr>
          <w:p>
            <w:pPr>
              <w:ind w:hanging="1"/>
              <w:jc w:val="right"/>
            </w:pPr>
            <w:r>
              <w:rPr>
                <w:rFonts w:hint="eastAsia"/>
                <w:b w:val="0"/>
                <w:i w:val="0"/>
                <w:strike w:val="0"/>
                <w:u w:val="none"/>
              </w:rPr>
              <w:t>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pPr>
              <w:ind w:hanging="1"/>
              <w:jc w:val="right"/>
            </w:pPr>
            <w:r>
              <w:rPr>
                <w:b w:val="0"/>
                <w:i w:val="0"/>
                <w:strike w:val="0"/>
                <w:u w:val="none"/>
              </w:rPr>
              <w:t>20,288,547.95</w:t>
            </w:r>
          </w:p>
        </w:tc>
        <w:tc>
          <w:tcPr>
            <w:tcW w:w="2431" w:type="dxa"/>
            <w:shd w:val="clear" w:color="auto" w:fill="auto"/>
            <w:vAlign w:val="center"/>
          </w:tcPr>
          <w:p>
            <w:pPr>
              <w:ind w:hanging="1"/>
              <w:jc w:val="right"/>
            </w:pPr>
            <w:r>
              <w:rPr>
                <w:rFonts w:hint="eastAsia"/>
                <w:b w:val="0"/>
                <w:i w:val="0"/>
                <w:strike w:val="0"/>
                <w:u w:val="none"/>
              </w:rPr>
              <w:t>3.92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25江苏江南农村商业银行CD010</w:t>
            </w:r>
          </w:p>
        </w:tc>
        <w:tc>
          <w:tcPr>
            <w:tcW w:w="2693" w:type="dxa"/>
            <w:shd w:val="clear" w:color="auto" w:fill="auto"/>
            <w:vAlign w:val="center"/>
          </w:tcPr>
          <w:p>
            <w:pPr>
              <w:ind w:hanging="1"/>
              <w:jc w:val="right"/>
            </w:pPr>
            <w:r>
              <w:rPr>
                <w:b w:val="0"/>
                <w:i w:val="0"/>
                <w:strike w:val="0"/>
                <w:u w:val="none"/>
              </w:rPr>
              <w:t>19,980,850.50</w:t>
            </w:r>
          </w:p>
        </w:tc>
        <w:tc>
          <w:tcPr>
            <w:tcW w:w="2431" w:type="dxa"/>
            <w:shd w:val="clear" w:color="auto" w:fill="auto"/>
            <w:vAlign w:val="center"/>
          </w:tcPr>
          <w:p>
            <w:pPr>
              <w:ind w:hanging="1"/>
              <w:jc w:val="right"/>
            </w:pPr>
            <w:r>
              <w:rPr>
                <w:rFonts w:hint="eastAsia"/>
                <w:b w:val="0"/>
                <w:i w:val="0"/>
                <w:strike w:val="0"/>
                <w:u w:val="none"/>
              </w:rPr>
              <w:t>3.86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25渤海银行CD038</w:t>
            </w:r>
          </w:p>
        </w:tc>
        <w:tc>
          <w:tcPr>
            <w:tcW w:w="2693" w:type="dxa"/>
            <w:shd w:val="clear" w:color="auto" w:fill="auto"/>
            <w:vAlign w:val="center"/>
          </w:tcPr>
          <w:p>
            <w:pPr>
              <w:ind w:hanging="1"/>
              <w:jc w:val="right"/>
            </w:pPr>
            <w:r>
              <w:rPr>
                <w:b w:val="0"/>
                <w:i w:val="0"/>
                <w:strike w:val="0"/>
                <w:u w:val="none"/>
              </w:rPr>
              <w:t>19,814,250.74</w:t>
            </w:r>
          </w:p>
        </w:tc>
        <w:tc>
          <w:tcPr>
            <w:tcW w:w="2431" w:type="dxa"/>
            <w:shd w:val="clear" w:color="auto" w:fill="auto"/>
            <w:vAlign w:val="center"/>
          </w:tcPr>
          <w:p>
            <w:pPr>
              <w:ind w:hanging="1"/>
              <w:jc w:val="right"/>
            </w:pPr>
            <w:r>
              <w:rPr>
                <w:rFonts w:hint="eastAsia"/>
                <w:b w:val="0"/>
                <w:i w:val="0"/>
                <w:strike w:val="0"/>
                <w:u w:val="none"/>
              </w:rPr>
              <w:t>3.83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25重庆三峡银行CD035</w:t>
            </w:r>
          </w:p>
        </w:tc>
        <w:tc>
          <w:tcPr>
            <w:tcW w:w="2693" w:type="dxa"/>
            <w:shd w:val="clear" w:color="auto" w:fill="auto"/>
            <w:vAlign w:val="center"/>
          </w:tcPr>
          <w:p>
            <w:pPr>
              <w:ind w:hanging="1"/>
              <w:jc w:val="right"/>
            </w:pPr>
            <w:r>
              <w:rPr>
                <w:b w:val="0"/>
                <w:i w:val="0"/>
                <w:strike w:val="0"/>
                <w:u w:val="none"/>
              </w:rPr>
              <w:t>19,764,592.16</w:t>
            </w:r>
          </w:p>
        </w:tc>
        <w:tc>
          <w:tcPr>
            <w:tcW w:w="2431" w:type="dxa"/>
            <w:shd w:val="clear" w:color="auto" w:fill="auto"/>
            <w:vAlign w:val="center"/>
          </w:tcPr>
          <w:p>
            <w:pPr>
              <w:ind w:hanging="1"/>
              <w:jc w:val="right"/>
            </w:pPr>
            <w:r>
              <w:rPr>
                <w:rFonts w:hint="eastAsia"/>
                <w:b w:val="0"/>
                <w:i w:val="0"/>
                <w:strike w:val="0"/>
                <w:u w:val="none"/>
              </w:rPr>
              <w:t>3.82</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B061685"/>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178</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2025-07-07T06:46:21Z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