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四川银行定开系列3个月6号净值型理财产品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578,362,200.00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四川银行-四川银行定开系列3个月6号净值型理财产品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9.72</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1,246,200.00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3,481,803.46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580,244,650.12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580,244,650.12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1.0972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497,238,324.84</w:t>
            </w:r>
          </w:p>
        </w:tc>
        <w:tc>
          <w:tcPr>
            <w:tcW w:w="1749" w:type="dxa"/>
            <w:shd w:val="clear" w:color="auto" w:fill="auto"/>
            <w:vAlign w:val="center"/>
          </w:tcPr>
          <w:p>
            <w:pPr>
              <w:jc w:val="right"/>
            </w:pPr>
            <w:r>
              <w:t>85.02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497,238,324.84</w:t>
            </w:r>
          </w:p>
        </w:tc>
        <w:tc>
          <w:tcPr>
            <w:tcW w:w="1749" w:type="dxa"/>
            <w:shd w:val="clear" w:color="auto" w:fill="auto"/>
            <w:vAlign w:val="center"/>
          </w:tcPr>
          <w:p>
            <w:pPr>
              <w:jc w:val="right"/>
            </w:pPr>
            <w:r>
              <w:t>85.02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87,026,651.46</w:t>
            </w:r>
          </w:p>
        </w:tc>
        <w:tc>
          <w:tcPr>
            <w:tcW w:w="1749" w:type="dxa"/>
            <w:shd w:val="clear" w:color="auto" w:fill="auto"/>
            <w:vAlign w:val="center"/>
          </w:tcPr>
          <w:p>
            <w:pPr>
              <w:jc w:val="right"/>
            </w:pPr>
            <w:r>
              <w:t>14.88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520,451.59</w:t>
            </w:r>
          </w:p>
        </w:tc>
        <w:tc>
          <w:tcPr>
            <w:tcW w:w="1749" w:type="dxa"/>
            <w:shd w:val="clear" w:color="auto" w:fill="auto"/>
            <w:vAlign w:val="center"/>
          </w:tcPr>
          <w:p>
            <w:pPr>
              <w:jc w:val="right"/>
            </w:pPr>
            <w:r>
              <w:t>0.09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31,055.10</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584,816,482.99</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87,026,651.46</w:t>
            </w:r>
          </w:p>
        </w:tc>
        <w:tc>
          <w:tcPr>
            <w:tcW w:w="2431" w:type="dxa"/>
            <w:shd w:val="clear" w:color="auto" w:fill="auto"/>
            <w:vAlign w:val="center"/>
          </w:tcPr>
          <w:p>
            <w:pPr>
              <w:jc w:val="right"/>
            </w:pPr>
            <w:bookmarkStart w:id="3" w:name="OLE_LINK6"/>
            <w:bookmarkEnd w:id="3"/>
            <w:bookmarkStart w:id="4" w:name="OLE_LINK5"/>
            <w:bookmarkEnd w:id="4"/>
            <w:r>
              <w:rPr>
                <w:rFonts w:hint="eastAsia"/>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pPr>
              <w:ind w:hanging="1"/>
              <w:jc w:val="right"/>
            </w:pPr>
            <w:r>
              <w:rPr>
                <w:b w:val="0"/>
                <w:i w:val="0"/>
                <w:strike w:val="0"/>
                <w:u w:val="none"/>
              </w:rPr>
              <w:t>29,685,215.75</w:t>
            </w:r>
          </w:p>
        </w:tc>
        <w:tc>
          <w:tcPr>
            <w:tcW w:w="2431" w:type="dxa"/>
            <w:shd w:val="clear" w:color="auto" w:fill="auto"/>
            <w:vAlign w:val="center"/>
          </w:tcPr>
          <w:p>
            <w:pPr>
              <w:ind w:hanging="1"/>
              <w:jc w:val="right"/>
            </w:pPr>
            <w:r>
              <w:rPr>
                <w:rFonts w:hint="eastAsia"/>
                <w:b w:val="0"/>
                <w:i w:val="0"/>
                <w:strike w:val="0"/>
                <w:u w:val="none"/>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26,193,253.43</w:t>
            </w:r>
          </w:p>
        </w:tc>
        <w:tc>
          <w:tcPr>
            <w:tcW w:w="2431" w:type="dxa"/>
            <w:shd w:val="clear" w:color="auto" w:fill="auto"/>
            <w:vAlign w:val="center"/>
          </w:tcPr>
          <w:p>
            <w:pPr>
              <w:ind w:hanging="1"/>
              <w:jc w:val="right"/>
            </w:pPr>
            <w:r>
              <w:rPr>
                <w:rFonts w:hint="eastAsia"/>
                <w:b w:val="0"/>
                <w:i w:val="0"/>
                <w:strike w:val="0"/>
                <w:u w:val="none"/>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25,325,171.23</w:t>
            </w:r>
          </w:p>
        </w:tc>
        <w:tc>
          <w:tcPr>
            <w:tcW w:w="2431" w:type="dxa"/>
            <w:shd w:val="clear" w:color="auto" w:fill="auto"/>
            <w:vAlign w:val="center"/>
          </w:tcPr>
          <w:p>
            <w:pPr>
              <w:ind w:hanging="1"/>
              <w:jc w:val="right"/>
            </w:pPr>
            <w:r>
              <w:rPr>
                <w:rFonts w:hint="eastAsia"/>
                <w:b w:val="0"/>
                <w:i w:val="0"/>
                <w:strike w:val="0"/>
                <w:u w:val="none"/>
              </w:rPr>
              <w:t>4.36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23,862,153.42</w:t>
            </w:r>
          </w:p>
        </w:tc>
        <w:tc>
          <w:tcPr>
            <w:tcW w:w="2431" w:type="dxa"/>
            <w:shd w:val="clear" w:color="auto" w:fill="auto"/>
            <w:vAlign w:val="center"/>
          </w:tcPr>
          <w:p>
            <w:pPr>
              <w:ind w:hanging="1"/>
              <w:jc w:val="right"/>
            </w:pPr>
            <w:r>
              <w:rPr>
                <w:rFonts w:hint="eastAsia"/>
                <w:b w:val="0"/>
                <w:i w:val="0"/>
                <w:strike w:val="0"/>
                <w:u w:val="none"/>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21,638,219.18</w:t>
            </w:r>
          </w:p>
        </w:tc>
        <w:tc>
          <w:tcPr>
            <w:tcW w:w="2431" w:type="dxa"/>
            <w:shd w:val="clear" w:color="auto" w:fill="auto"/>
            <w:vAlign w:val="center"/>
          </w:tcPr>
          <w:p>
            <w:pPr>
              <w:ind w:hanging="1"/>
              <w:jc w:val="right"/>
            </w:pPr>
            <w:r>
              <w:rPr>
                <w:rFonts w:hint="eastAsia"/>
                <w:b w:val="0"/>
                <w:i w:val="0"/>
                <w:strike w:val="0"/>
                <w:u w:val="none"/>
              </w:rPr>
              <w:t>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23鼎兴实业MTN003</w:t>
            </w:r>
          </w:p>
        </w:tc>
        <w:tc>
          <w:tcPr>
            <w:tcW w:w="2693" w:type="dxa"/>
            <w:shd w:val="clear" w:color="auto" w:fill="auto"/>
            <w:vAlign w:val="center"/>
          </w:tcPr>
          <w:p>
            <w:pPr>
              <w:ind w:hanging="1"/>
              <w:jc w:val="right"/>
            </w:pPr>
            <w:r>
              <w:rPr>
                <w:b w:val="0"/>
                <w:i w:val="0"/>
                <w:strike w:val="0"/>
                <w:u w:val="none"/>
              </w:rPr>
              <w:t>21,067,835.62</w:t>
            </w:r>
          </w:p>
        </w:tc>
        <w:tc>
          <w:tcPr>
            <w:tcW w:w="2431" w:type="dxa"/>
            <w:shd w:val="clear" w:color="auto" w:fill="auto"/>
            <w:vAlign w:val="center"/>
          </w:tcPr>
          <w:p>
            <w:pPr>
              <w:ind w:hanging="1"/>
              <w:jc w:val="right"/>
            </w:pPr>
            <w:r>
              <w:rPr>
                <w:rFonts w:hint="eastAsia"/>
                <w:b w:val="0"/>
                <w:i w:val="0"/>
                <w:strike w:val="0"/>
                <w:u w:val="none"/>
              </w:rPr>
              <w:t>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23自贡01</w:t>
            </w:r>
          </w:p>
        </w:tc>
        <w:tc>
          <w:tcPr>
            <w:tcW w:w="2693" w:type="dxa"/>
            <w:shd w:val="clear" w:color="auto" w:fill="auto"/>
            <w:vAlign w:val="center"/>
          </w:tcPr>
          <w:p>
            <w:pPr>
              <w:ind w:hanging="1"/>
              <w:jc w:val="right"/>
            </w:pPr>
            <w:r>
              <w:rPr>
                <w:b w:val="0"/>
                <w:i w:val="0"/>
                <w:strike w:val="0"/>
                <w:u w:val="none"/>
              </w:rPr>
              <w:t>20,957,232.88</w:t>
            </w:r>
          </w:p>
        </w:tc>
        <w:tc>
          <w:tcPr>
            <w:tcW w:w="2431" w:type="dxa"/>
            <w:shd w:val="clear" w:color="auto" w:fill="auto"/>
            <w:vAlign w:val="center"/>
          </w:tcPr>
          <w:p>
            <w:pPr>
              <w:ind w:hanging="1"/>
              <w:jc w:val="right"/>
            </w:pPr>
            <w:r>
              <w:rPr>
                <w:rFonts w:hint="eastAsia"/>
                <w:b w:val="0"/>
                <w:i w:val="0"/>
                <w:strike w:val="0"/>
                <w:u w:val="none"/>
              </w:rPr>
              <w:t>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20,768,191.78</w:t>
            </w:r>
          </w:p>
        </w:tc>
        <w:tc>
          <w:tcPr>
            <w:tcW w:w="2431" w:type="dxa"/>
            <w:shd w:val="clear" w:color="auto" w:fill="auto"/>
            <w:vAlign w:val="center"/>
          </w:tcPr>
          <w:p>
            <w:pPr>
              <w:ind w:hanging="1"/>
              <w:jc w:val="right"/>
            </w:pPr>
            <w:r>
              <w:rPr>
                <w:rFonts w:hint="eastAsia"/>
                <w:b w:val="0"/>
                <w:i w:val="0"/>
                <w:strike w:val="0"/>
                <w:u w:val="none"/>
              </w:rPr>
              <w:t>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20,334,328.77</w:t>
            </w:r>
          </w:p>
        </w:tc>
        <w:tc>
          <w:tcPr>
            <w:tcW w:w="2431" w:type="dxa"/>
            <w:shd w:val="clear" w:color="auto" w:fill="auto"/>
            <w:vAlign w:val="center"/>
          </w:tcPr>
          <w:p>
            <w:pPr>
              <w:ind w:hanging="1"/>
              <w:jc w:val="right"/>
            </w:pPr>
            <w:r>
              <w:rPr>
                <w:rFonts w:hint="eastAsia"/>
                <w:b w:val="0"/>
                <w:i w:val="0"/>
                <w:strike w:val="0"/>
                <w:u w:val="none"/>
              </w:rPr>
              <w:t>3.50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407885"/>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179</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2025-07-07T07:40:57Z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