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四川银行定开系列3个月7号净值型理财产品</w:t>
      </w:r>
    </w:p>
    <w:p>
      <w:pPr>
        <w:jc w:val="center"/>
        <w:rPr>
          <w:rFonts w:ascii="宋体" w:hAnsi="宋体"/>
          <w:b/>
          <w:bCs/>
          <w:sz w:val="48"/>
          <w:szCs w:val="30"/>
        </w:rPr>
      </w:pPr>
      <w:r>
        <w:rPr>
          <w:rFonts w:ascii="宋体" w:hAnsi="宋体"/>
          <w:b/>
          <w:bCs/>
          <w:sz w:val="48"/>
          <w:szCs w:val="30"/>
        </w:rPr>
        <w:t>2025年第2季度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自2025-04-01起至2025-06-30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四川银行定开系列3个月7号净值型理财产品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2022-05-19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668,149,184.00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[2.2%-3.2%]/年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四川银行-四川银行定开系列3个月7号净值型理财产品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128912158810832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2025-04-01</w:t>
            </w:r>
            <w:r>
              <w:rPr>
                <w:rFonts w:hint="eastAsia" w:ascii="宋体" w:hAnsi="宋体"/>
              </w:rPr>
              <w:t>至</w:t>
            </w:r>
            <w:r>
              <w:rPr>
                <w:rFonts w:ascii="宋体" w:hAnsi="宋体"/>
              </w:rPr>
              <w:t>2025-06-30</w:t>
            </w:r>
            <w:r>
              <w:rPr>
                <w:rFonts w:hint="eastAsia" w:ascii="宋体" w:hAnsi="宋体"/>
              </w:rPr>
              <w:t>）</w:t>
            </w:r>
          </w:p>
        </w:tc>
        <w:tc>
          <w:tcPr>
            <w:tcW w:w="5103" w:type="dxa"/>
            <w:vAlign w:val="center"/>
          </w:tcPr>
          <w:p>
            <w:pPr>
              <w:jc w:val="right"/>
            </w:pPr>
            <w:r>
              <w:t>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9.65</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2025-04-01</w:t>
            </w:r>
            <w:r>
              <w:rPr>
                <w:rFonts w:hint="eastAsia"/>
                <w:b/>
              </w:rPr>
              <w:t xml:space="preserve">至 </w:t>
            </w:r>
            <w:r>
              <w:rPr>
                <w:b/>
              </w:rPr>
              <w:t>2025-06-30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2,265,770.35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3,611,086.05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670,041,968.26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1.0965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670,041,968.26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1.0965</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556,241,893.69</w:t>
            </w:r>
          </w:p>
        </w:tc>
        <w:tc>
          <w:tcPr>
            <w:tcW w:w="1749" w:type="dxa"/>
            <w:shd w:val="clear" w:color="auto" w:fill="auto"/>
            <w:vAlign w:val="center"/>
          </w:tcPr>
          <w:p>
            <w:pPr>
              <w:jc w:val="right"/>
            </w:pPr>
            <w:r>
              <w:t>82.48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556,241,893.69</w:t>
            </w:r>
          </w:p>
        </w:tc>
        <w:tc>
          <w:tcPr>
            <w:tcW w:w="1749" w:type="dxa"/>
            <w:shd w:val="clear" w:color="auto" w:fill="auto"/>
            <w:vAlign w:val="center"/>
          </w:tcPr>
          <w:p>
            <w:pPr>
              <w:jc w:val="right"/>
            </w:pPr>
            <w:r>
              <w:t>82.48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83,025,426.12</w:t>
            </w:r>
          </w:p>
        </w:tc>
        <w:tc>
          <w:tcPr>
            <w:tcW w:w="1749" w:type="dxa"/>
            <w:shd w:val="clear" w:color="auto" w:fill="auto"/>
            <w:vAlign w:val="center"/>
          </w:tcPr>
          <w:p>
            <w:pPr>
              <w:jc w:val="right"/>
            </w:pPr>
            <w:r>
              <w:t>12.31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35,016,090.31</w:t>
            </w:r>
          </w:p>
        </w:tc>
        <w:tc>
          <w:tcPr>
            <w:tcW w:w="1749" w:type="dxa"/>
            <w:shd w:val="clear" w:color="auto" w:fill="auto"/>
            <w:vAlign w:val="center"/>
          </w:tcPr>
          <w:p>
            <w:pPr>
              <w:jc w:val="right"/>
            </w:pPr>
            <w:r>
              <w:t>5.19</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97,736.93</w:t>
            </w:r>
          </w:p>
        </w:tc>
        <w:tc>
          <w:tcPr>
            <w:tcW w:w="1749" w:type="dxa"/>
            <w:shd w:val="clear" w:color="auto" w:fill="auto"/>
            <w:vAlign w:val="center"/>
          </w:tcPr>
          <w:p>
            <w:pPr>
              <w:jc w:val="right"/>
            </w:pPr>
            <w:r>
              <w:t>0.01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674,381,147.05</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83,025,426.12</w:t>
            </w:r>
          </w:p>
        </w:tc>
        <w:tc>
          <w:tcPr>
            <w:tcW w:w="2431" w:type="dxa"/>
            <w:shd w:val="clear" w:color="auto" w:fill="auto"/>
            <w:vAlign w:val="center"/>
          </w:tcPr>
          <w:p>
            <w:pPr>
              <w:jc w:val="right"/>
            </w:pPr>
            <w:bookmarkStart w:id="3" w:name="OLE_LINK6"/>
            <w:bookmarkEnd w:id="3"/>
            <w:bookmarkStart w:id="4" w:name="OLE_LINK5"/>
            <w:bookmarkEnd w:id="4"/>
            <w:r>
              <w:rPr>
                <w:rFonts w:hint="eastAsia"/>
              </w:rPr>
              <w:t>12.39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22彭城建</w:t>
            </w:r>
          </w:p>
        </w:tc>
        <w:tc>
          <w:tcPr>
            <w:tcW w:w="2693" w:type="dxa"/>
            <w:shd w:val="clear" w:color="auto" w:fill="auto"/>
            <w:vAlign w:val="center"/>
          </w:tcPr>
          <w:p>
            <w:pPr>
              <w:ind w:hanging="1"/>
              <w:jc w:val="right"/>
            </w:pPr>
            <w:r>
              <w:rPr>
                <w:b w:val="0"/>
                <w:i w:val="0"/>
                <w:strike w:val="0"/>
                <w:u w:val="none"/>
              </w:rPr>
              <w:t>52,422,273.98</w:t>
            </w:r>
          </w:p>
        </w:tc>
        <w:tc>
          <w:tcPr>
            <w:tcW w:w="2431" w:type="dxa"/>
            <w:shd w:val="clear" w:color="auto" w:fill="auto"/>
            <w:vAlign w:val="center"/>
          </w:tcPr>
          <w:p>
            <w:pPr>
              <w:ind w:hanging="1"/>
              <w:jc w:val="right"/>
            </w:pPr>
            <w:r>
              <w:rPr>
                <w:rFonts w:hint="eastAsia"/>
                <w:b w:val="0"/>
                <w:i w:val="0"/>
                <w:strike w:val="0"/>
                <w:u w:val="none"/>
              </w:rPr>
              <w:t>7.82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pPr>
              <w:ind w:hanging="1"/>
              <w:jc w:val="right"/>
            </w:pPr>
            <w:r>
              <w:rPr>
                <w:b w:val="0"/>
                <w:i w:val="0"/>
                <w:strike w:val="0"/>
                <w:u w:val="none"/>
              </w:rPr>
              <w:t>30,405,090.41</w:t>
            </w:r>
          </w:p>
        </w:tc>
        <w:tc>
          <w:tcPr>
            <w:tcW w:w="2431" w:type="dxa"/>
            <w:shd w:val="clear" w:color="auto" w:fill="auto"/>
            <w:vAlign w:val="center"/>
          </w:tcPr>
          <w:p>
            <w:pPr>
              <w:ind w:hanging="1"/>
              <w:jc w:val="right"/>
            </w:pPr>
            <w:r>
              <w:rPr>
                <w:rFonts w:hint="eastAsia"/>
                <w:b w:val="0"/>
                <w:i w:val="0"/>
                <w:strike w:val="0"/>
                <w:u w:val="none"/>
              </w:rPr>
              <w:t>4.54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pPr>
              <w:ind w:hanging="1"/>
              <w:jc w:val="right"/>
            </w:pPr>
            <w:r>
              <w:rPr>
                <w:b w:val="0"/>
                <w:i w:val="0"/>
                <w:strike w:val="0"/>
                <w:u w:val="none"/>
              </w:rPr>
              <w:t>24,312,164.38</w:t>
            </w:r>
          </w:p>
        </w:tc>
        <w:tc>
          <w:tcPr>
            <w:tcW w:w="2431" w:type="dxa"/>
            <w:shd w:val="clear" w:color="auto" w:fill="auto"/>
            <w:vAlign w:val="center"/>
          </w:tcPr>
          <w:p>
            <w:pPr>
              <w:ind w:hanging="1"/>
              <w:jc w:val="right"/>
            </w:pPr>
            <w:r>
              <w:rPr>
                <w:rFonts w:hint="eastAsia"/>
                <w:b w:val="0"/>
                <w:i w:val="0"/>
                <w:strike w:val="0"/>
                <w:u w:val="none"/>
              </w:rPr>
              <w:t>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24乌鲁木齐银行CD137</w:t>
            </w:r>
          </w:p>
        </w:tc>
        <w:tc>
          <w:tcPr>
            <w:tcW w:w="2693" w:type="dxa"/>
            <w:shd w:val="clear" w:color="auto" w:fill="auto"/>
            <w:vAlign w:val="center"/>
          </w:tcPr>
          <w:p>
            <w:pPr>
              <w:ind w:hanging="1"/>
              <w:jc w:val="right"/>
            </w:pPr>
            <w:r>
              <w:rPr>
                <w:b w:val="0"/>
                <w:i w:val="0"/>
                <w:strike w:val="0"/>
                <w:u w:val="none"/>
              </w:rPr>
              <w:t>22,946,667.22</w:t>
            </w:r>
          </w:p>
        </w:tc>
        <w:tc>
          <w:tcPr>
            <w:tcW w:w="2431" w:type="dxa"/>
            <w:shd w:val="clear" w:color="auto" w:fill="auto"/>
            <w:vAlign w:val="center"/>
          </w:tcPr>
          <w:p>
            <w:pPr>
              <w:ind w:hanging="1"/>
              <w:jc w:val="right"/>
            </w:pPr>
            <w:r>
              <w:rPr>
                <w:rFonts w:hint="eastAsia"/>
                <w:b w:val="0"/>
                <w:i w:val="0"/>
                <w:strike w:val="0"/>
                <w:u w:val="none"/>
              </w:rPr>
              <w:t>3.42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23阳安债</w:t>
            </w:r>
          </w:p>
        </w:tc>
        <w:tc>
          <w:tcPr>
            <w:tcW w:w="2693" w:type="dxa"/>
            <w:shd w:val="clear" w:color="auto" w:fill="auto"/>
            <w:vAlign w:val="center"/>
          </w:tcPr>
          <w:p>
            <w:pPr>
              <w:ind w:hanging="1"/>
              <w:jc w:val="right"/>
            </w:pPr>
            <w:r>
              <w:rPr>
                <w:b w:val="0"/>
                <w:i w:val="0"/>
                <w:strike w:val="0"/>
                <w:u w:val="none"/>
              </w:rPr>
              <w:t>21,638,219.18</w:t>
            </w:r>
          </w:p>
        </w:tc>
        <w:tc>
          <w:tcPr>
            <w:tcW w:w="2431" w:type="dxa"/>
            <w:shd w:val="clear" w:color="auto" w:fill="auto"/>
            <w:vAlign w:val="center"/>
          </w:tcPr>
          <w:p>
            <w:pPr>
              <w:ind w:hanging="1"/>
              <w:jc w:val="right"/>
            </w:pPr>
            <w:r>
              <w:rPr>
                <w:rFonts w:hint="eastAsia"/>
                <w:b w:val="0"/>
                <w:i w:val="0"/>
                <w:strike w:val="0"/>
                <w:u w:val="none"/>
              </w:rPr>
              <w:t>3.23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24自高01</w:t>
            </w:r>
          </w:p>
        </w:tc>
        <w:tc>
          <w:tcPr>
            <w:tcW w:w="2693" w:type="dxa"/>
            <w:shd w:val="clear" w:color="auto" w:fill="auto"/>
            <w:vAlign w:val="center"/>
          </w:tcPr>
          <w:p>
            <w:pPr>
              <w:ind w:hanging="1"/>
              <w:jc w:val="right"/>
            </w:pPr>
            <w:r>
              <w:rPr>
                <w:b w:val="0"/>
                <w:i w:val="0"/>
                <w:strike w:val="0"/>
                <w:u w:val="none"/>
              </w:rPr>
              <w:t>21,029,863.01</w:t>
            </w:r>
          </w:p>
        </w:tc>
        <w:tc>
          <w:tcPr>
            <w:tcW w:w="2431" w:type="dxa"/>
            <w:shd w:val="clear" w:color="auto" w:fill="auto"/>
            <w:vAlign w:val="center"/>
          </w:tcPr>
          <w:p>
            <w:pPr>
              <w:ind w:hanging="1"/>
              <w:jc w:val="right"/>
            </w:pPr>
            <w:r>
              <w:rPr>
                <w:rFonts w:hint="eastAsia"/>
                <w:b w:val="0"/>
                <w:i w:val="0"/>
                <w:strike w:val="0"/>
                <w:u w:val="none"/>
              </w:rPr>
              <w:t>3.14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25眉资03</w:t>
            </w:r>
          </w:p>
        </w:tc>
        <w:tc>
          <w:tcPr>
            <w:tcW w:w="2693" w:type="dxa"/>
            <w:shd w:val="clear" w:color="auto" w:fill="auto"/>
            <w:vAlign w:val="center"/>
          </w:tcPr>
          <w:p>
            <w:pPr>
              <w:ind w:hanging="1"/>
              <w:jc w:val="right"/>
            </w:pPr>
            <w:r>
              <w:rPr>
                <w:b w:val="0"/>
                <w:i w:val="0"/>
                <w:strike w:val="0"/>
                <w:u w:val="none"/>
              </w:rPr>
              <w:t>20,102,547.95</w:t>
            </w:r>
          </w:p>
        </w:tc>
        <w:tc>
          <w:tcPr>
            <w:tcW w:w="2431" w:type="dxa"/>
            <w:shd w:val="clear" w:color="auto" w:fill="auto"/>
            <w:vAlign w:val="center"/>
          </w:tcPr>
          <w:p>
            <w:pPr>
              <w:ind w:hanging="1"/>
              <w:jc w:val="right"/>
            </w:pPr>
            <w:r>
              <w:rPr>
                <w:rFonts w:hint="eastAsia"/>
                <w:b w:val="0"/>
                <w:i w:val="0"/>
                <w:strike w:val="0"/>
                <w:u w:val="none"/>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25贵阳银行CD056</w:t>
            </w:r>
          </w:p>
        </w:tc>
        <w:tc>
          <w:tcPr>
            <w:tcW w:w="2693" w:type="dxa"/>
            <w:shd w:val="clear" w:color="auto" w:fill="auto"/>
            <w:vAlign w:val="center"/>
          </w:tcPr>
          <w:p>
            <w:pPr>
              <w:ind w:hanging="1"/>
              <w:jc w:val="right"/>
            </w:pPr>
            <w:r>
              <w:rPr>
                <w:b w:val="0"/>
                <w:i w:val="0"/>
                <w:strike w:val="0"/>
                <w:u w:val="none"/>
              </w:rPr>
              <w:t>19,880,179.35</w:t>
            </w:r>
          </w:p>
        </w:tc>
        <w:tc>
          <w:tcPr>
            <w:tcW w:w="2431" w:type="dxa"/>
            <w:shd w:val="clear" w:color="auto" w:fill="auto"/>
            <w:vAlign w:val="center"/>
          </w:tcPr>
          <w:p>
            <w:pPr>
              <w:ind w:hanging="1"/>
              <w:jc w:val="right"/>
            </w:pPr>
            <w:r>
              <w:rPr>
                <w:rFonts w:hint="eastAsia"/>
                <w:b w:val="0"/>
                <w:i w:val="0"/>
                <w:strike w:val="0"/>
                <w:u w:val="none"/>
              </w:rPr>
              <w:t>2.97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25广东顺德农商行CD006</w:t>
            </w:r>
          </w:p>
        </w:tc>
        <w:tc>
          <w:tcPr>
            <w:tcW w:w="2693" w:type="dxa"/>
            <w:shd w:val="clear" w:color="auto" w:fill="auto"/>
            <w:vAlign w:val="center"/>
          </w:tcPr>
          <w:p>
            <w:pPr>
              <w:ind w:hanging="1"/>
              <w:jc w:val="right"/>
            </w:pPr>
            <w:r>
              <w:rPr>
                <w:b w:val="0"/>
                <w:i w:val="0"/>
                <w:strike w:val="0"/>
                <w:u w:val="none"/>
              </w:rPr>
              <w:t>19,762,831.56</w:t>
            </w:r>
          </w:p>
        </w:tc>
        <w:tc>
          <w:tcPr>
            <w:tcW w:w="2431" w:type="dxa"/>
            <w:shd w:val="clear" w:color="auto" w:fill="auto"/>
            <w:vAlign w:val="center"/>
          </w:tcPr>
          <w:p>
            <w:pPr>
              <w:ind w:hanging="1"/>
              <w:jc w:val="right"/>
            </w:pPr>
            <w:r>
              <w:rPr>
                <w:rFonts w:hint="eastAsia"/>
                <w:b w:val="0"/>
                <w:i w:val="0"/>
                <w:strike w:val="0"/>
                <w:u w:val="none"/>
              </w:rPr>
              <w:t>2.95</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7082F44"/>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2025-07-07T07:41:55Z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