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四川银行定开系列6个月14号净值型理财产品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234,255,100.00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11.29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-43,011.85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1,314,074.84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235,655,817.14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1.006</w:t>
            </w:r>
            <w:r>
              <w:rPr>
                <w:rFonts w:hint="eastAsia"/>
                <w:b w:val="0"/>
                <w:i w:val="0"/>
                <w:strike w:val="0"/>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235,655,817.14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1.1129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215,009,970.58</w:t>
            </w:r>
          </w:p>
        </w:tc>
        <w:tc>
          <w:tcPr>
            <w:tcW w:w="1749" w:type="dxa"/>
            <w:shd w:val="clear" w:color="auto" w:fill="auto"/>
            <w:vAlign w:val="center"/>
          </w:tcPr>
          <w:p>
            <w:pPr>
              <w:jc w:val="right"/>
            </w:pPr>
            <w:r>
              <w:t>90.21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205,239,342.78</w:t>
            </w:r>
          </w:p>
        </w:tc>
        <w:tc>
          <w:tcPr>
            <w:tcW w:w="1749" w:type="dxa"/>
            <w:shd w:val="clear" w:color="auto" w:fill="auto"/>
            <w:vAlign w:val="center"/>
          </w:tcPr>
          <w:p>
            <w:pPr>
              <w:jc w:val="right"/>
            </w:pPr>
            <w:r>
              <w:t>86.11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9,770,627.80</w:t>
            </w:r>
          </w:p>
        </w:tc>
        <w:tc>
          <w:tcPr>
            <w:tcW w:w="1749" w:type="dxa"/>
            <w:shd w:val="clear" w:color="auto" w:fill="auto"/>
            <w:vAlign w:val="center"/>
          </w:tcPr>
          <w:p>
            <w:pPr>
              <w:jc w:val="right"/>
            </w:pPr>
            <w:r>
              <w:t>4.10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21,004,525.16</w:t>
            </w:r>
          </w:p>
        </w:tc>
        <w:tc>
          <w:tcPr>
            <w:tcW w:w="1749" w:type="dxa"/>
            <w:shd w:val="clear" w:color="auto" w:fill="auto"/>
            <w:vAlign w:val="center"/>
          </w:tcPr>
          <w:p>
            <w:pPr>
              <w:jc w:val="right"/>
            </w:pPr>
            <w:r>
              <w:t>8.81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2,217,598.52</w:t>
            </w:r>
          </w:p>
        </w:tc>
        <w:tc>
          <w:tcPr>
            <w:tcW w:w="1749" w:type="dxa"/>
            <w:shd w:val="clear" w:color="auto" w:fill="auto"/>
            <w:vAlign w:val="center"/>
          </w:tcPr>
          <w:p>
            <w:pPr>
              <w:jc w:val="right"/>
            </w:pPr>
            <w:r>
              <w:t>0.93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112,040.72</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238,344,134.98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21,004,525.16</w:t>
            </w:r>
          </w:p>
        </w:tc>
        <w:tc>
          <w:tcPr>
            <w:tcW w:w="2431" w:type="dxa"/>
            <w:shd w:val="clear" w:color="auto" w:fill="auto"/>
            <w:vAlign w:val="center"/>
          </w:tcPr>
          <w:p>
            <w:pPr>
              <w:jc w:val="right"/>
            </w:pPr>
            <w:bookmarkStart w:id="3" w:name="OLE_LINK6"/>
            <w:bookmarkEnd w:id="3"/>
            <w:bookmarkStart w:id="4" w:name="OLE_LINK5"/>
            <w:bookmarkEnd w:id="4"/>
            <w:r>
              <w:rPr>
                <w:rFonts w:hint="eastAsia"/>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20,334,328.77</w:t>
            </w:r>
          </w:p>
        </w:tc>
        <w:tc>
          <w:tcPr>
            <w:tcW w:w="2431" w:type="dxa"/>
            <w:shd w:val="clear" w:color="auto" w:fill="auto"/>
            <w:vAlign w:val="center"/>
          </w:tcPr>
          <w:p>
            <w:pPr>
              <w:ind w:hanging="1"/>
              <w:jc w:val="right"/>
            </w:pPr>
            <w:r>
              <w:rPr>
                <w:rFonts w:hint="eastAsia"/>
                <w:b w:val="0"/>
                <w:i w:val="0"/>
                <w:strike w:val="0"/>
                <w:u w:val="none"/>
              </w:rPr>
              <w:t>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19,705,965.37</w:t>
            </w:r>
          </w:p>
        </w:tc>
        <w:tc>
          <w:tcPr>
            <w:tcW w:w="2431" w:type="dxa"/>
            <w:shd w:val="clear" w:color="auto" w:fill="auto"/>
            <w:vAlign w:val="center"/>
          </w:tcPr>
          <w:p>
            <w:pPr>
              <w:ind w:hanging="1"/>
              <w:jc w:val="right"/>
            </w:pPr>
            <w:r>
              <w:rPr>
                <w:rFonts w:hint="eastAsia"/>
                <w:b w:val="0"/>
                <w:i w:val="0"/>
                <w:strike w:val="0"/>
                <w:u w:val="none"/>
              </w:rPr>
              <w:t>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15,739,519.59</w:t>
            </w:r>
          </w:p>
        </w:tc>
        <w:tc>
          <w:tcPr>
            <w:tcW w:w="2431" w:type="dxa"/>
            <w:shd w:val="clear" w:color="auto" w:fill="auto"/>
            <w:vAlign w:val="center"/>
          </w:tcPr>
          <w:p>
            <w:pPr>
              <w:ind w:hanging="1"/>
              <w:jc w:val="right"/>
            </w:pPr>
            <w:r>
              <w:rPr>
                <w:rFonts w:hint="eastAsia"/>
                <w:b w:val="0"/>
                <w:i w:val="0"/>
                <w:strike w:val="0"/>
                <w:u w:val="none"/>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15,650,609.59</w:t>
            </w:r>
          </w:p>
        </w:tc>
        <w:tc>
          <w:tcPr>
            <w:tcW w:w="2431" w:type="dxa"/>
            <w:shd w:val="clear" w:color="auto" w:fill="auto"/>
            <w:vAlign w:val="center"/>
          </w:tcPr>
          <w:p>
            <w:pPr>
              <w:ind w:hanging="1"/>
              <w:jc w:val="right"/>
            </w:pPr>
            <w:r>
              <w:rPr>
                <w:rFonts w:hint="eastAsia"/>
                <w:b w:val="0"/>
                <w:i w:val="0"/>
                <w:strike w:val="0"/>
                <w:u w:val="none"/>
              </w:rPr>
              <w:t>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15,554,260.27</w:t>
            </w:r>
          </w:p>
        </w:tc>
        <w:tc>
          <w:tcPr>
            <w:tcW w:w="2431" w:type="dxa"/>
            <w:shd w:val="clear" w:color="auto" w:fill="auto"/>
            <w:vAlign w:val="center"/>
          </w:tcPr>
          <w:p>
            <w:pPr>
              <w:ind w:hanging="1"/>
              <w:jc w:val="right"/>
            </w:pPr>
            <w:r>
              <w:rPr>
                <w:rFonts w:hint="eastAsia"/>
                <w:b w:val="0"/>
                <w:i w:val="0"/>
                <w:strike w:val="0"/>
                <w:u w:val="none"/>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15,497,009.59</w:t>
            </w:r>
          </w:p>
        </w:tc>
        <w:tc>
          <w:tcPr>
            <w:tcW w:w="2431" w:type="dxa"/>
            <w:shd w:val="clear" w:color="auto" w:fill="auto"/>
            <w:vAlign w:val="center"/>
          </w:tcPr>
          <w:p>
            <w:pPr>
              <w:ind w:hanging="1"/>
              <w:jc w:val="right"/>
            </w:pPr>
            <w:r>
              <w:rPr>
                <w:rFonts w:hint="eastAsia"/>
                <w:b w:val="0"/>
                <w:i w:val="0"/>
                <w:strike w:val="0"/>
                <w:u w:val="none"/>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25齐鲁银行CD019</w:t>
            </w:r>
          </w:p>
        </w:tc>
        <w:tc>
          <w:tcPr>
            <w:tcW w:w="2693" w:type="dxa"/>
            <w:shd w:val="clear" w:color="auto" w:fill="auto"/>
            <w:vAlign w:val="center"/>
          </w:tcPr>
          <w:p>
            <w:pPr>
              <w:ind w:hanging="1"/>
              <w:jc w:val="right"/>
            </w:pPr>
            <w:r>
              <w:rPr>
                <w:b w:val="0"/>
                <w:i w:val="0"/>
                <w:strike w:val="0"/>
                <w:u w:val="none"/>
              </w:rPr>
              <w:t>14,962,041.63</w:t>
            </w:r>
          </w:p>
        </w:tc>
        <w:tc>
          <w:tcPr>
            <w:tcW w:w="2431" w:type="dxa"/>
            <w:shd w:val="clear" w:color="auto" w:fill="auto"/>
            <w:vAlign w:val="center"/>
          </w:tcPr>
          <w:p>
            <w:pPr>
              <w:ind w:hanging="1"/>
              <w:jc w:val="right"/>
            </w:pPr>
            <w:r>
              <w:rPr>
                <w:rFonts w:hint="eastAsia"/>
                <w:b w:val="0"/>
                <w:i w:val="0"/>
                <w:strike w:val="0"/>
                <w:u w:val="none"/>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24秦农农商银行CD295</w:t>
            </w:r>
          </w:p>
        </w:tc>
        <w:tc>
          <w:tcPr>
            <w:tcW w:w="2693" w:type="dxa"/>
            <w:shd w:val="clear" w:color="auto" w:fill="auto"/>
            <w:vAlign w:val="center"/>
          </w:tcPr>
          <w:p>
            <w:pPr>
              <w:ind w:hanging="1"/>
              <w:jc w:val="right"/>
            </w:pPr>
            <w:r>
              <w:rPr>
                <w:b w:val="0"/>
                <w:i w:val="0"/>
                <w:strike w:val="0"/>
                <w:u w:val="none"/>
              </w:rPr>
              <w:t>14,939,705.38</w:t>
            </w:r>
          </w:p>
        </w:tc>
        <w:tc>
          <w:tcPr>
            <w:tcW w:w="2431" w:type="dxa"/>
            <w:shd w:val="clear" w:color="auto" w:fill="auto"/>
            <w:vAlign w:val="center"/>
          </w:tcPr>
          <w:p>
            <w:pPr>
              <w:ind w:hanging="1"/>
              <w:jc w:val="right"/>
            </w:pPr>
            <w:r>
              <w:rPr>
                <w:rFonts w:hint="eastAsia"/>
                <w:b w:val="0"/>
                <w:i w:val="0"/>
                <w:strike w:val="0"/>
                <w:u w:val="none"/>
              </w:rPr>
              <w:t>6.34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A3B14D4"/>
    <w:rsid w:val="132C271E"/>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179</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2025-07-07T10:44:41Z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