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四川银行定开系列6个月16号净值型理财产品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166,452,831.00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520,548.64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1,028,133.75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167,232,775.19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167,232,775.19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154,533,680.66</w:t>
            </w:r>
          </w:p>
        </w:tc>
        <w:tc>
          <w:tcPr>
            <w:tcW w:w="1749" w:type="dxa"/>
            <w:shd w:val="clear" w:color="auto" w:fill="auto"/>
            <w:vAlign w:val="center"/>
          </w:tcPr>
          <w:p>
            <w:pPr>
              <w:jc w:val="right"/>
            </w:pPr>
            <w:r>
              <w:t>91.20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144,494,102.58</w:t>
            </w:r>
          </w:p>
        </w:tc>
        <w:tc>
          <w:tcPr>
            <w:tcW w:w="1749" w:type="dxa"/>
            <w:shd w:val="clear" w:color="auto" w:fill="auto"/>
            <w:vAlign w:val="center"/>
          </w:tcPr>
          <w:p>
            <w:pPr>
              <w:jc w:val="right"/>
            </w:pPr>
            <w:r>
              <w:t>85.27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10,039,578.08</w:t>
            </w:r>
          </w:p>
        </w:tc>
        <w:tc>
          <w:tcPr>
            <w:tcW w:w="1749" w:type="dxa"/>
            <w:shd w:val="clear" w:color="auto" w:fill="auto"/>
            <w:vAlign w:val="center"/>
          </w:tcPr>
          <w:p>
            <w:pPr>
              <w:jc w:val="right"/>
            </w:pPr>
            <w:r>
              <w:t>5.92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14,003,016.76</w:t>
            </w:r>
          </w:p>
        </w:tc>
        <w:tc>
          <w:tcPr>
            <w:tcW w:w="1749" w:type="dxa"/>
            <w:shd w:val="clear" w:color="auto" w:fill="auto"/>
            <w:vAlign w:val="center"/>
          </w:tcPr>
          <w:p>
            <w:pPr>
              <w:jc w:val="right"/>
            </w:pPr>
            <w:r>
              <w:t>8.26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911,945.03</w:t>
            </w:r>
          </w:p>
        </w:tc>
        <w:tc>
          <w:tcPr>
            <w:tcW w:w="1749" w:type="dxa"/>
            <w:shd w:val="clear" w:color="auto" w:fill="auto"/>
            <w:vAlign w:val="center"/>
          </w:tcPr>
          <w:p>
            <w:pPr>
              <w:jc w:val="right"/>
            </w:pPr>
            <w:r>
              <w:t>0.54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5,435.11</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169,454,077.56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14,003,016.76</w:t>
            </w:r>
          </w:p>
        </w:tc>
        <w:tc>
          <w:tcPr>
            <w:tcW w:w="2431" w:type="dxa"/>
            <w:shd w:val="clear" w:color="auto" w:fill="auto"/>
            <w:vAlign w:val="center"/>
          </w:tcPr>
          <w:p>
            <w:pPr>
              <w:jc w:val="right"/>
            </w:pPr>
            <w:bookmarkStart w:id="3" w:name="OLE_LINK6"/>
            <w:bookmarkEnd w:id="3"/>
            <w:bookmarkStart w:id="4" w:name="OLE_LINK5"/>
            <w:bookmarkEnd w:id="4"/>
            <w:r>
              <w:rPr>
                <w:rFonts w:hint="eastAsia"/>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12,596,400.00</w:t>
            </w:r>
          </w:p>
        </w:tc>
        <w:tc>
          <w:tcPr>
            <w:tcW w:w="2431" w:type="dxa"/>
            <w:shd w:val="clear" w:color="auto" w:fill="auto"/>
            <w:vAlign w:val="center"/>
          </w:tcPr>
          <w:p>
            <w:pPr>
              <w:ind w:hanging="1"/>
              <w:jc w:val="right"/>
            </w:pPr>
            <w:r>
              <w:rPr>
                <w:rFonts w:hint="eastAsia"/>
                <w:b w:val="0"/>
                <w:i w:val="0"/>
                <w:strike w:val="0"/>
                <w:u w:val="none"/>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10,533,917.81</w:t>
            </w:r>
          </w:p>
        </w:tc>
        <w:tc>
          <w:tcPr>
            <w:tcW w:w="2431" w:type="dxa"/>
            <w:shd w:val="clear" w:color="auto" w:fill="auto"/>
            <w:vAlign w:val="center"/>
          </w:tcPr>
          <w:p>
            <w:pPr>
              <w:ind w:hanging="1"/>
              <w:jc w:val="right"/>
            </w:pPr>
            <w:r>
              <w:rPr>
                <w:rFonts w:hint="eastAsia"/>
                <w:b w:val="0"/>
                <w:i w:val="0"/>
                <w:strike w:val="0"/>
                <w:u w:val="none"/>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10,369,506.85</w:t>
            </w:r>
          </w:p>
        </w:tc>
        <w:tc>
          <w:tcPr>
            <w:tcW w:w="2431" w:type="dxa"/>
            <w:shd w:val="clear" w:color="auto" w:fill="auto"/>
            <w:vAlign w:val="center"/>
          </w:tcPr>
          <w:p>
            <w:pPr>
              <w:ind w:hanging="1"/>
              <w:jc w:val="right"/>
            </w:pPr>
            <w:r>
              <w:rPr>
                <w:rFonts w:hint="eastAsia"/>
                <w:b w:val="0"/>
                <w:i w:val="0"/>
                <w:strike w:val="0"/>
                <w:u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10,363,780.82</w:t>
            </w:r>
          </w:p>
        </w:tc>
        <w:tc>
          <w:tcPr>
            <w:tcW w:w="2431" w:type="dxa"/>
            <w:shd w:val="clear" w:color="auto" w:fill="auto"/>
            <w:vAlign w:val="center"/>
          </w:tcPr>
          <w:p>
            <w:pPr>
              <w:ind w:hanging="1"/>
              <w:jc w:val="right"/>
            </w:pPr>
            <w:r>
              <w:rPr>
                <w:rFonts w:hint="eastAsia"/>
                <w:b w:val="0"/>
                <w:i w:val="0"/>
                <w:strike w:val="0"/>
                <w:u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pPr>
              <w:ind w:hanging="1"/>
              <w:jc w:val="right"/>
            </w:pPr>
            <w:r>
              <w:rPr>
                <w:b w:val="0"/>
                <w:i w:val="0"/>
                <w:strike w:val="0"/>
                <w:u w:val="none"/>
              </w:rPr>
              <w:t>10,331,054.79</w:t>
            </w:r>
          </w:p>
        </w:tc>
        <w:tc>
          <w:tcPr>
            <w:tcW w:w="2431" w:type="dxa"/>
            <w:shd w:val="clear" w:color="auto" w:fill="auto"/>
            <w:vAlign w:val="center"/>
          </w:tcPr>
          <w:p>
            <w:pPr>
              <w:ind w:hanging="1"/>
              <w:jc w:val="right"/>
            </w:pPr>
            <w:r>
              <w:rPr>
                <w:rFonts w:hint="eastAsia"/>
                <w:b w:val="0"/>
                <w:i w:val="0"/>
                <w:strike w:val="0"/>
                <w:u w:val="none"/>
              </w:rPr>
              <w:t>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10,144,273.97</w:t>
            </w:r>
          </w:p>
        </w:tc>
        <w:tc>
          <w:tcPr>
            <w:tcW w:w="2431" w:type="dxa"/>
            <w:shd w:val="clear" w:color="auto" w:fill="auto"/>
            <w:vAlign w:val="center"/>
          </w:tcPr>
          <w:p>
            <w:pPr>
              <w:ind w:hanging="1"/>
              <w:jc w:val="right"/>
            </w:pPr>
            <w:r>
              <w:rPr>
                <w:rFonts w:hint="eastAsia"/>
                <w:b w:val="0"/>
                <w:i w:val="0"/>
                <w:strike w:val="0"/>
                <w:u w:val="none"/>
              </w:rPr>
              <w:t>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10,039,578.08</w:t>
            </w:r>
          </w:p>
        </w:tc>
        <w:tc>
          <w:tcPr>
            <w:tcW w:w="2431" w:type="dxa"/>
            <w:shd w:val="clear" w:color="auto" w:fill="auto"/>
            <w:vAlign w:val="center"/>
          </w:tcPr>
          <w:p>
            <w:pPr>
              <w:ind w:hanging="1"/>
              <w:jc w:val="right"/>
            </w:pPr>
            <w:r>
              <w:rPr>
                <w:rFonts w:hint="eastAsia"/>
                <w:b w:val="0"/>
                <w:i w:val="0"/>
                <w:strike w:val="0"/>
                <w:u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9,980,733.70</w:t>
            </w:r>
          </w:p>
        </w:tc>
        <w:tc>
          <w:tcPr>
            <w:tcW w:w="2431" w:type="dxa"/>
            <w:shd w:val="clear" w:color="auto" w:fill="auto"/>
            <w:vAlign w:val="center"/>
          </w:tcPr>
          <w:p>
            <w:pPr>
              <w:ind w:hanging="1"/>
              <w:jc w:val="right"/>
            </w:pPr>
            <w:r>
              <w:rPr>
                <w:rFonts w:hint="eastAsia"/>
                <w:b w:val="0"/>
                <w:i w:val="0"/>
                <w:strike w:val="0"/>
                <w:u w:val="none"/>
              </w:rPr>
              <w:t>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9,976,811.84</w:t>
            </w:r>
          </w:p>
        </w:tc>
        <w:tc>
          <w:tcPr>
            <w:tcW w:w="2431" w:type="dxa"/>
            <w:shd w:val="clear" w:color="auto" w:fill="auto"/>
            <w:vAlign w:val="center"/>
          </w:tcPr>
          <w:p>
            <w:pPr>
              <w:ind w:hanging="1"/>
              <w:jc w:val="right"/>
            </w:pPr>
            <w:r>
              <w:rPr>
                <w:rFonts w:hint="eastAsia"/>
                <w:b w:val="0"/>
                <w:i w:val="0"/>
                <w:strike w:val="0"/>
                <w:u w:val="none"/>
              </w:rPr>
              <w:t>5.97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1197C14"/>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2025-07-07T10:46:17Z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