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四川银行定开系列6个月18号净值型理财产品</w:t>
      </w:r>
    </w:p>
    <w:p>
      <w:pPr>
        <w:jc w:val="center"/>
        <w:rPr>
          <w:rFonts w:ascii="宋体" w:hAnsi="宋体"/>
          <w:b/>
          <w:bCs/>
          <w:sz w:val="48"/>
          <w:szCs w:val="30"/>
        </w:rPr>
      </w:pPr>
      <w:r>
        <w:rPr>
          <w:rFonts w:ascii="宋体" w:hAnsi="宋体"/>
          <w:b/>
          <w:bCs/>
          <w:sz w:val="48"/>
          <w:szCs w:val="30"/>
        </w:rPr>
        <w:t>2025年第2季度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自2025-04-01起至2025-06-30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四川银行定开系列6个月18号净值型理财产品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2022-05-06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344,712,600.00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[2.25%-3.25%]/年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四川银行-四川银行定开系列6个月18号净值型理财产品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128912158810221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2025-04-01</w:t>
            </w:r>
            <w:r>
              <w:rPr>
                <w:rFonts w:hint="eastAsia" w:ascii="宋体" w:hAnsi="宋体"/>
              </w:rPr>
              <w:t>至</w:t>
            </w:r>
            <w:r>
              <w:rPr>
                <w:rFonts w:ascii="宋体" w:hAnsi="宋体"/>
              </w:rPr>
              <w:t>2025-06-30</w:t>
            </w:r>
            <w:r>
              <w:rPr>
                <w:rFonts w:hint="eastAsia" w:ascii="宋体" w:hAnsi="宋体"/>
              </w:rPr>
              <w:t>）</w:t>
            </w:r>
          </w:p>
        </w:tc>
        <w:tc>
          <w:tcPr>
            <w:tcW w:w="5103" w:type="dxa"/>
            <w:vAlign w:val="center"/>
          </w:tcPr>
          <w:p>
            <w:pPr>
              <w:jc w:val="right"/>
            </w:pPr>
            <w:r>
              <w:t>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10.94</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2025-04-01</w:t>
            </w:r>
            <w:r>
              <w:rPr>
                <w:rFonts w:hint="eastAsia"/>
                <w:b/>
              </w:rPr>
              <w:t xml:space="preserve">至 </w:t>
            </w:r>
            <w:r>
              <w:rPr>
                <w:b/>
              </w:rPr>
              <w:t>2025-06-30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-233,380.63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2,205,404.98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345,881,317.38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1.1094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345,881,317.38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1.1094</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309,710,839.33</w:t>
            </w:r>
          </w:p>
        </w:tc>
        <w:tc>
          <w:tcPr>
            <w:tcW w:w="1749" w:type="dxa"/>
            <w:shd w:val="clear" w:color="auto" w:fill="auto"/>
            <w:vAlign w:val="center"/>
          </w:tcPr>
          <w:p>
            <w:pPr>
              <w:jc w:val="right"/>
            </w:pPr>
            <w:r>
              <w:t>88.14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309,710,839.33</w:t>
            </w:r>
          </w:p>
        </w:tc>
        <w:tc>
          <w:tcPr>
            <w:tcW w:w="1749" w:type="dxa"/>
            <w:shd w:val="clear" w:color="auto" w:fill="auto"/>
            <w:vAlign w:val="center"/>
          </w:tcPr>
          <w:p>
            <w:pPr>
              <w:jc w:val="right"/>
            </w:pPr>
            <w:r>
              <w:t>88.14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41,008,834.84</w:t>
            </w:r>
          </w:p>
        </w:tc>
        <w:tc>
          <w:tcPr>
            <w:tcW w:w="1749" w:type="dxa"/>
            <w:shd w:val="clear" w:color="auto" w:fill="auto"/>
            <w:vAlign w:val="center"/>
          </w:tcPr>
          <w:p>
            <w:pPr>
              <w:jc w:val="right"/>
            </w:pPr>
            <w:r>
              <w:t>11.67</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648,708.02</w:t>
            </w:r>
          </w:p>
        </w:tc>
        <w:tc>
          <w:tcPr>
            <w:tcW w:w="1749" w:type="dxa"/>
            <w:shd w:val="clear" w:color="auto" w:fill="auto"/>
            <w:vAlign w:val="center"/>
          </w:tcPr>
          <w:p>
            <w:pPr>
              <w:jc w:val="right"/>
            </w:pPr>
            <w:r>
              <w:t>0.18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23,902.91</w:t>
            </w:r>
          </w:p>
        </w:tc>
        <w:tc>
          <w:tcPr>
            <w:tcW w:w="1749" w:type="dxa"/>
            <w:shd w:val="clear" w:color="auto" w:fill="auto"/>
            <w:vAlign w:val="center"/>
          </w:tcPr>
          <w:p>
            <w:pPr>
              <w:jc w:val="right"/>
            </w:pPr>
            <w:r>
              <w:t>0.01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351,392,285.10</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41,008,834.84</w:t>
            </w:r>
          </w:p>
        </w:tc>
        <w:tc>
          <w:tcPr>
            <w:tcW w:w="2431" w:type="dxa"/>
            <w:shd w:val="clear" w:color="auto" w:fill="auto"/>
            <w:vAlign w:val="center"/>
          </w:tcPr>
          <w:p>
            <w:pPr>
              <w:jc w:val="right"/>
            </w:pPr>
            <w:bookmarkStart w:id="3" w:name="OLE_LINK6"/>
            <w:bookmarkEnd w:id="3"/>
            <w:bookmarkStart w:id="4" w:name="OLE_LINK5"/>
            <w:bookmarkEnd w:id="4"/>
            <w:r>
              <w:rPr>
                <w:rFonts w:hint="eastAsia"/>
              </w:rPr>
              <w:t>11.86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23达州高科MTN001</w:t>
            </w:r>
          </w:p>
        </w:tc>
        <w:tc>
          <w:tcPr>
            <w:tcW w:w="2693" w:type="dxa"/>
            <w:shd w:val="clear" w:color="auto" w:fill="auto"/>
            <w:vAlign w:val="center"/>
          </w:tcPr>
          <w:p>
            <w:pPr>
              <w:ind w:hanging="1"/>
              <w:jc w:val="right"/>
            </w:pPr>
            <w:r>
              <w:rPr>
                <w:b w:val="0"/>
                <w:i w:val="0"/>
                <w:strike w:val="0"/>
                <w:u w:val="none"/>
              </w:rPr>
              <w:t>31,830,493.15</w:t>
            </w:r>
          </w:p>
        </w:tc>
        <w:tc>
          <w:tcPr>
            <w:tcW w:w="2431" w:type="dxa"/>
            <w:shd w:val="clear" w:color="auto" w:fill="auto"/>
            <w:vAlign w:val="center"/>
          </w:tcPr>
          <w:p>
            <w:pPr>
              <w:ind w:hanging="1"/>
              <w:jc w:val="right"/>
            </w:pPr>
            <w:r>
              <w:rPr>
                <w:rFonts w:hint="eastAsia"/>
                <w:b w:val="0"/>
                <w:i w:val="0"/>
                <w:strike w:val="0"/>
                <w:u w:val="none"/>
              </w:rPr>
              <w:t>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24兴蜀投资MTN001</w:t>
            </w:r>
          </w:p>
        </w:tc>
        <w:tc>
          <w:tcPr>
            <w:tcW w:w="2693" w:type="dxa"/>
            <w:shd w:val="clear" w:color="auto" w:fill="auto"/>
            <w:vAlign w:val="center"/>
          </w:tcPr>
          <w:p>
            <w:pPr>
              <w:ind w:hanging="1"/>
              <w:jc w:val="right"/>
            </w:pPr>
            <w:r>
              <w:rPr>
                <w:b w:val="0"/>
                <w:i w:val="0"/>
                <w:strike w:val="0"/>
                <w:u w:val="none"/>
              </w:rPr>
              <w:t>30,994,019.18</w:t>
            </w:r>
          </w:p>
        </w:tc>
        <w:tc>
          <w:tcPr>
            <w:tcW w:w="2431" w:type="dxa"/>
            <w:shd w:val="clear" w:color="auto" w:fill="auto"/>
            <w:vAlign w:val="center"/>
          </w:tcPr>
          <w:p>
            <w:pPr>
              <w:ind w:hanging="1"/>
              <w:jc w:val="right"/>
            </w:pPr>
            <w:r>
              <w:rPr>
                <w:rFonts w:hint="eastAsia"/>
                <w:b w:val="0"/>
                <w:i w:val="0"/>
                <w:strike w:val="0"/>
                <w:u w:val="none"/>
              </w:rPr>
              <w:t>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25吉林银行CD075</w:t>
            </w:r>
          </w:p>
        </w:tc>
        <w:tc>
          <w:tcPr>
            <w:tcW w:w="2693" w:type="dxa"/>
            <w:shd w:val="clear" w:color="auto" w:fill="auto"/>
            <w:vAlign w:val="center"/>
          </w:tcPr>
          <w:p>
            <w:pPr>
              <w:ind w:hanging="1"/>
              <w:jc w:val="right"/>
            </w:pPr>
            <w:r>
              <w:rPr>
                <w:b w:val="0"/>
                <w:i w:val="0"/>
                <w:strike w:val="0"/>
                <w:u w:val="none"/>
              </w:rPr>
              <w:t>29,942,201.09</w:t>
            </w:r>
          </w:p>
        </w:tc>
        <w:tc>
          <w:tcPr>
            <w:tcW w:w="2431" w:type="dxa"/>
            <w:shd w:val="clear" w:color="auto" w:fill="auto"/>
            <w:vAlign w:val="center"/>
          </w:tcPr>
          <w:p>
            <w:pPr>
              <w:ind w:hanging="1"/>
              <w:jc w:val="right"/>
            </w:pPr>
            <w:r>
              <w:rPr>
                <w:rFonts w:hint="eastAsia"/>
                <w:b w:val="0"/>
                <w:i w:val="0"/>
                <w:strike w:val="0"/>
                <w:u w:val="none"/>
              </w:rPr>
              <w:t>8.66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22眉控01</w:t>
            </w:r>
          </w:p>
        </w:tc>
        <w:tc>
          <w:tcPr>
            <w:tcW w:w="2693" w:type="dxa"/>
            <w:shd w:val="clear" w:color="auto" w:fill="auto"/>
            <w:vAlign w:val="center"/>
          </w:tcPr>
          <w:p>
            <w:pPr>
              <w:ind w:hanging="1"/>
              <w:jc w:val="right"/>
            </w:pPr>
            <w:r>
              <w:rPr>
                <w:b w:val="0"/>
                <w:i w:val="0"/>
                <w:strike w:val="0"/>
                <w:u w:val="none"/>
              </w:rPr>
              <w:t>20,850,493.15</w:t>
            </w:r>
          </w:p>
        </w:tc>
        <w:tc>
          <w:tcPr>
            <w:tcW w:w="2431" w:type="dxa"/>
            <w:shd w:val="clear" w:color="auto" w:fill="auto"/>
            <w:vAlign w:val="center"/>
          </w:tcPr>
          <w:p>
            <w:pPr>
              <w:ind w:hanging="1"/>
              <w:jc w:val="right"/>
            </w:pPr>
            <w:r>
              <w:rPr>
                <w:rFonts w:hint="eastAsia"/>
                <w:b w:val="0"/>
                <w:i w:val="0"/>
                <w:strike w:val="0"/>
                <w:u w:val="none"/>
              </w:rPr>
              <w:t>6.03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25绵兴02</w:t>
            </w:r>
          </w:p>
        </w:tc>
        <w:tc>
          <w:tcPr>
            <w:tcW w:w="2693" w:type="dxa"/>
            <w:shd w:val="clear" w:color="auto" w:fill="auto"/>
            <w:vAlign w:val="center"/>
          </w:tcPr>
          <w:p>
            <w:pPr>
              <w:ind w:hanging="1"/>
              <w:jc w:val="right"/>
            </w:pPr>
            <w:r>
              <w:rPr>
                <w:b w:val="0"/>
                <w:i w:val="0"/>
                <w:strike w:val="0"/>
                <w:u w:val="none"/>
              </w:rPr>
              <w:t>20,334,328.77</w:t>
            </w:r>
          </w:p>
        </w:tc>
        <w:tc>
          <w:tcPr>
            <w:tcW w:w="2431" w:type="dxa"/>
            <w:shd w:val="clear" w:color="auto" w:fill="auto"/>
            <w:vAlign w:val="center"/>
          </w:tcPr>
          <w:p>
            <w:pPr>
              <w:ind w:hanging="1"/>
              <w:jc w:val="right"/>
            </w:pPr>
            <w:r>
              <w:rPr>
                <w:rFonts w:hint="eastAsia"/>
                <w:b w:val="0"/>
                <w:i w:val="0"/>
                <w:strike w:val="0"/>
                <w:u w:val="none"/>
              </w:rPr>
              <w:t>5.88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pPr>
              <w:ind w:hanging="1"/>
              <w:jc w:val="right"/>
            </w:pPr>
            <w:r>
              <w:rPr>
                <w:b w:val="0"/>
                <w:i w:val="0"/>
                <w:strike w:val="0"/>
                <w:u w:val="none"/>
              </w:rPr>
              <w:t>20,270,060.27</w:t>
            </w:r>
          </w:p>
        </w:tc>
        <w:tc>
          <w:tcPr>
            <w:tcW w:w="2431" w:type="dxa"/>
            <w:shd w:val="clear" w:color="auto" w:fill="auto"/>
            <w:vAlign w:val="center"/>
          </w:tcPr>
          <w:p>
            <w:pPr>
              <w:ind w:hanging="1"/>
              <w:jc w:val="right"/>
            </w:pPr>
            <w:r>
              <w:rPr>
                <w:rFonts w:hint="eastAsia"/>
                <w:b w:val="0"/>
                <w:i w:val="0"/>
                <w:strike w:val="0"/>
                <w:u w:val="none"/>
              </w:rPr>
              <w:t>5.86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24稠州商行CD040</w:t>
            </w:r>
          </w:p>
        </w:tc>
        <w:tc>
          <w:tcPr>
            <w:tcW w:w="2693" w:type="dxa"/>
            <w:shd w:val="clear" w:color="auto" w:fill="auto"/>
            <w:vAlign w:val="center"/>
          </w:tcPr>
          <w:p>
            <w:pPr>
              <w:ind w:hanging="1"/>
              <w:jc w:val="right"/>
            </w:pPr>
            <w:r>
              <w:rPr>
                <w:b w:val="0"/>
                <w:i w:val="0"/>
                <w:strike w:val="0"/>
                <w:u w:val="none"/>
              </w:rPr>
              <w:t>19,880,348.71</w:t>
            </w:r>
          </w:p>
        </w:tc>
        <w:tc>
          <w:tcPr>
            <w:tcW w:w="2431" w:type="dxa"/>
            <w:shd w:val="clear" w:color="auto" w:fill="auto"/>
            <w:vAlign w:val="center"/>
          </w:tcPr>
          <w:p>
            <w:pPr>
              <w:ind w:hanging="1"/>
              <w:jc w:val="right"/>
            </w:pPr>
            <w:r>
              <w:rPr>
                <w:rFonts w:hint="eastAsia"/>
                <w:b w:val="0"/>
                <w:i w:val="0"/>
                <w:strike w:val="0"/>
                <w:u w:val="none"/>
              </w:rPr>
              <w:t>5.75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25东莞银行CD102</w:t>
            </w:r>
          </w:p>
        </w:tc>
        <w:tc>
          <w:tcPr>
            <w:tcW w:w="2693" w:type="dxa"/>
            <w:shd w:val="clear" w:color="auto" w:fill="auto"/>
            <w:vAlign w:val="center"/>
          </w:tcPr>
          <w:p>
            <w:pPr>
              <w:ind w:hanging="1"/>
              <w:jc w:val="right"/>
            </w:pPr>
            <w:r>
              <w:rPr>
                <w:b w:val="0"/>
                <w:i w:val="0"/>
                <w:strike w:val="0"/>
                <w:u w:val="none"/>
              </w:rPr>
              <w:t>19,713,049.42</w:t>
            </w:r>
          </w:p>
        </w:tc>
        <w:tc>
          <w:tcPr>
            <w:tcW w:w="2431" w:type="dxa"/>
            <w:shd w:val="clear" w:color="auto" w:fill="auto"/>
            <w:vAlign w:val="center"/>
          </w:tcPr>
          <w:p>
            <w:pPr>
              <w:ind w:hanging="1"/>
              <w:jc w:val="right"/>
            </w:pPr>
            <w:r>
              <w:rPr>
                <w:rFonts w:hint="eastAsia"/>
                <w:b w:val="0"/>
                <w:i w:val="0"/>
                <w:strike w:val="0"/>
                <w:u w:val="none"/>
              </w:rPr>
              <w:t>5.70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24绵兴02</w:t>
            </w:r>
          </w:p>
        </w:tc>
        <w:tc>
          <w:tcPr>
            <w:tcW w:w="2693" w:type="dxa"/>
            <w:shd w:val="clear" w:color="auto" w:fill="auto"/>
            <w:vAlign w:val="center"/>
          </w:tcPr>
          <w:p>
            <w:pPr>
              <w:ind w:hanging="1"/>
              <w:jc w:val="right"/>
            </w:pPr>
            <w:r>
              <w:rPr>
                <w:b w:val="0"/>
                <w:i w:val="0"/>
                <w:strike w:val="0"/>
                <w:u w:val="none"/>
              </w:rPr>
              <w:t>17,151,253.43</w:t>
            </w:r>
          </w:p>
        </w:tc>
        <w:tc>
          <w:tcPr>
            <w:tcW w:w="2431" w:type="dxa"/>
            <w:shd w:val="clear" w:color="auto" w:fill="auto"/>
            <w:vAlign w:val="center"/>
          </w:tcPr>
          <w:p>
            <w:pPr>
              <w:ind w:hanging="1"/>
              <w:jc w:val="right"/>
            </w:pPr>
            <w:r>
              <w:rPr>
                <w:rFonts w:hint="eastAsia"/>
                <w:b w:val="0"/>
                <w:i w:val="0"/>
                <w:strike w:val="0"/>
                <w:u w:val="none"/>
              </w:rPr>
              <w:t>4.96</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85E313E"/>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2025-07-07T10:47:46Z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