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p>
    <w:p>
      <w:pPr>
        <w:rPr>
          <w:sz w:val="48"/>
        </w:rPr>
      </w:pPr>
    </w:p>
    <w:p>
      <w:pPr>
        <w:jc w:val="center"/>
        <w:rPr>
          <w:rFonts w:ascii="宋体" w:hAnsi="宋体"/>
          <w:b/>
          <w:bCs/>
          <w:sz w:val="48"/>
          <w:szCs w:val="30"/>
        </w:rPr>
      </w:pPr>
      <w:r>
        <w:rPr>
          <w:rFonts w:ascii="宋体" w:hAnsi="宋体"/>
          <w:b/>
          <w:bCs/>
          <w:sz w:val="48"/>
          <w:szCs w:val="30"/>
        </w:rPr>
        <w:t>四川银行定开系列6个月1号净值型理财产品</w:t>
      </w:r>
    </w:p>
    <w:p>
      <w:pPr>
        <w:jc w:val="center"/>
        <w:rPr>
          <w:rFonts w:ascii="宋体" w:hAnsi="宋体"/>
          <w:b/>
          <w:bCs/>
          <w:sz w:val="48"/>
          <w:szCs w:val="30"/>
        </w:rPr>
      </w:pPr>
      <w:r>
        <w:rPr>
          <w:rFonts w:ascii="宋体" w:hAnsi="宋体"/>
          <w:b/>
          <w:bCs/>
          <w:sz w:val="48"/>
          <w:szCs w:val="30"/>
        </w:rPr>
        <w:t>2025年第2季度</w:t>
      </w:r>
      <w:r>
        <w:rPr>
          <w:rFonts w:hint="eastAsia" w:ascii="宋体" w:hAnsi="宋体"/>
          <w:b/>
          <w:bCs/>
          <w:sz w:val="48"/>
          <w:szCs w:val="30"/>
        </w:rPr>
        <w:t>报告</w:t>
      </w:r>
    </w:p>
    <w:p>
      <w:pPr>
        <w:jc w:val="center"/>
        <w:rPr>
          <w:rFonts w:ascii="宋体" w:hAnsi="宋体"/>
          <w:b/>
          <w:bCs/>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产品管理人：四川银行股份有限公司</w:t>
      </w:r>
    </w:p>
    <w:p>
      <w:pPr>
        <w:ind w:firstLine="1687" w:firstLineChars="600"/>
        <w:jc w:val="left"/>
        <w:rPr>
          <w:rFonts w:ascii="宋体" w:hAnsi="宋体"/>
          <w:sz w:val="28"/>
          <w:szCs w:val="30"/>
        </w:rPr>
      </w:pPr>
      <w:r>
        <w:rPr>
          <w:rFonts w:ascii="宋体" w:hAnsi="宋体"/>
          <w:b/>
          <w:bCs/>
          <w:sz w:val="28"/>
          <w:szCs w:val="30"/>
        </w:rPr>
        <w:t>产品托管人：招商银行股份有限公司成都分行</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自2025-04-01起至2025-06-30</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产品名称</w:t>
            </w:r>
          </w:p>
        </w:tc>
        <w:tc>
          <w:tcPr>
            <w:tcW w:w="5027" w:type="dxa"/>
            <w:vAlign w:val="center"/>
          </w:tcPr>
          <w:p>
            <w:pPr>
              <w:jc w:val="left"/>
              <w:rPr>
                <w:rFonts w:hint="eastAsia" w:ascii="宋体" w:hAnsi="宋体"/>
              </w:rPr>
            </w:pPr>
            <w:r>
              <w:rPr>
                <w:rFonts w:hint="eastAsia" w:ascii="宋体" w:hAnsi="宋体"/>
              </w:rPr>
              <w:t>四川银行定开系列6个月1号净值型理财产品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产品登记编码</w:t>
            </w:r>
          </w:p>
        </w:tc>
        <w:tc>
          <w:tcPr>
            <w:tcW w:w="5027" w:type="dxa"/>
            <w:vAlign w:val="center"/>
          </w:tcPr>
          <w:p>
            <w:pPr>
              <w:jc w:val="left"/>
              <w:rPr>
                <w:rFonts w:hint="eastAsia" w:ascii="宋体" w:hAnsi="宋体"/>
              </w:rPr>
            </w:pPr>
            <w:r>
              <w:rPr>
                <w:rFonts w:hint="eastAsia" w:ascii="宋体" w:hAnsi="宋体"/>
              </w:rPr>
              <w:t>C1438121000170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产品管理人</w:t>
            </w:r>
          </w:p>
        </w:tc>
        <w:tc>
          <w:tcPr>
            <w:tcW w:w="5027" w:type="dxa"/>
            <w:vAlign w:val="center"/>
          </w:tcPr>
          <w:p>
            <w:pPr>
              <w:jc w:val="left"/>
              <w:rPr>
                <w:rFonts w:hint="eastAsia" w:ascii="宋体" w:hAnsi="宋体"/>
              </w:rPr>
            </w:pPr>
            <w:r>
              <w:rPr>
                <w:rFonts w:hint="eastAsia" w:ascii="宋体" w:hAnsi="宋体"/>
              </w:rPr>
              <w:t>四川银行股份有限公司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产品托管人</w:t>
            </w:r>
          </w:p>
        </w:tc>
        <w:tc>
          <w:tcPr>
            <w:tcW w:w="5027" w:type="dxa"/>
            <w:vAlign w:val="center"/>
          </w:tcPr>
          <w:p>
            <w:pPr>
              <w:jc w:val="left"/>
              <w:rPr>
                <w:rFonts w:hint="eastAsia" w:ascii="宋体" w:hAnsi="宋体"/>
              </w:rPr>
            </w:pPr>
            <w:r>
              <w:rPr>
                <w:rFonts w:hint="eastAsia" w:ascii="宋体" w:hAnsi="宋体"/>
              </w:rPr>
              <w:t>招商银行股份有限公司成都分行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产品运作方式</w:t>
            </w:r>
          </w:p>
        </w:tc>
        <w:tc>
          <w:tcPr>
            <w:tcW w:w="5027" w:type="dxa"/>
            <w:vAlign w:val="center"/>
          </w:tcPr>
          <w:p>
            <w:pPr>
              <w:jc w:val="left"/>
              <w:rPr>
                <w:rFonts w:hint="eastAsia" w:ascii="宋体" w:hAnsi="宋体"/>
              </w:rPr>
            </w:pPr>
            <w:r>
              <w:rPr>
                <w:rFonts w:hint="eastAsia" w:ascii="宋体" w:hAnsi="宋体"/>
              </w:rPr>
              <w:t>公募定期开放式净值型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产品成立日</w:t>
            </w:r>
          </w:p>
        </w:tc>
        <w:tc>
          <w:tcPr>
            <w:tcW w:w="5027" w:type="dxa"/>
            <w:vAlign w:val="center"/>
          </w:tcPr>
          <w:p>
            <w:pPr>
              <w:jc w:val="left"/>
              <w:rPr>
                <w:rFonts w:hint="eastAsia" w:ascii="宋体" w:hAnsi="宋体"/>
              </w:rPr>
            </w:pPr>
            <w:r>
              <w:rPr>
                <w:rFonts w:hint="eastAsia" w:ascii="宋体" w:hAnsi="宋体"/>
              </w:rPr>
              <w:t>2021-11-16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产品到期日</w:t>
            </w:r>
          </w:p>
        </w:tc>
        <w:tc>
          <w:tcPr>
            <w:tcW w:w="5027" w:type="dxa"/>
            <w:vAlign w:val="center"/>
          </w:tcPr>
          <w:p>
            <w:pPr>
              <w:jc w:val="left"/>
              <w:rPr>
                <w:rFonts w:hint="eastAsia" w:ascii="宋体" w:hAnsi="宋体"/>
              </w:rPr>
            </w:pPr>
            <w:r>
              <w:rPr>
                <w:rFonts w:hint="eastAsia" w:ascii="宋体" w:hAnsi="宋体"/>
              </w:rPr>
              <w:t>9999-12-31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pPr>
              <w:jc w:val="left"/>
              <w:rPr>
                <w:rFonts w:hint="eastAsia" w:ascii="宋体" w:hAnsi="宋体"/>
                <w:szCs w:val="21"/>
              </w:rPr>
            </w:pPr>
            <w:r>
              <w:rPr>
                <w:rFonts w:hint="eastAsia" w:ascii="宋体" w:hAnsi="宋体"/>
                <w:szCs w:val="21"/>
              </w:rPr>
              <w:t>报告期末产品份额总额</w:t>
            </w:r>
          </w:p>
        </w:tc>
        <w:tc>
          <w:tcPr>
            <w:tcW w:w="5027" w:type="dxa"/>
            <w:vAlign w:val="center"/>
          </w:tcPr>
          <w:p>
            <w:pPr>
              <w:jc w:val="left"/>
              <w:rPr>
                <w:rFonts w:hint="eastAsia" w:ascii="宋体" w:hAnsi="宋体"/>
              </w:rPr>
            </w:pPr>
            <w:bookmarkStart w:id="0" w:name="OLE_LINK1"/>
            <w:r>
              <w:rPr>
                <w:rFonts w:hint="eastAsia" w:ascii="宋体" w:hAnsi="宋体"/>
              </w:rPr>
              <w:t>607,499,000.00</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业绩比较基准（如有）</w:t>
            </w:r>
          </w:p>
        </w:tc>
        <w:tc>
          <w:tcPr>
            <w:tcW w:w="5027" w:type="dxa"/>
            <w:vAlign w:val="center"/>
          </w:tcPr>
          <w:p>
            <w:pPr>
              <w:jc w:val="left"/>
              <w:rPr>
                <w:rFonts w:hint="eastAsia" w:ascii="宋体" w:hAnsi="宋体"/>
              </w:rPr>
            </w:pPr>
            <w:r>
              <w:rPr>
                <w:rFonts w:hint="eastAsia" w:ascii="宋体" w:hAnsi="宋体"/>
              </w:rPr>
              <w:t>[2.25%-3.25%]/年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pPr>
              <w:jc w:val="left"/>
              <w:rPr>
                <w:rFonts w:hint="eastAsia" w:ascii="宋体" w:hAnsi="宋体"/>
              </w:rPr>
            </w:pPr>
            <w:r>
              <w:rPr>
                <w:rFonts w:hint="eastAsia" w:ascii="宋体" w:hAnsi="宋体"/>
                <w:lang w:val="en-US" w:eastAsia="zh-CN"/>
              </w:rPr>
              <w:t>100.75%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pPr>
              <w:jc w:val="left"/>
              <w:rPr>
                <w:rFonts w:hint="eastAsia" w:ascii="宋体" w:hAnsi="宋体"/>
                <w:lang w:val="en-US" w:eastAsia="zh-CN"/>
              </w:rPr>
            </w:pPr>
            <w:r>
              <w:rPr>
                <w:rFonts w:hint="eastAsia" w:ascii="宋体" w:hAnsi="宋体"/>
              </w:rPr>
              <w:t>市值法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pPr>
              <w:jc w:val="left"/>
              <w:rPr>
                <w:rFonts w:hint="eastAsia" w:ascii="宋体" w:hAnsi="宋体"/>
                <w:lang w:val="en-US" w:eastAsia="zh-CN"/>
              </w:rPr>
            </w:pPr>
            <w:r>
              <w:rPr>
                <w:rFonts w:hint="eastAsia" w:ascii="宋体" w:hAnsi="宋体"/>
              </w:rPr>
              <w:t>四川银行-四川银行定开系列6个月1号净值型理财产品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pPr>
              <w:jc w:val="left"/>
              <w:rPr>
                <w:rFonts w:hint="eastAsia" w:ascii="宋体" w:hAnsi="宋体"/>
                <w:lang w:val="en-US" w:eastAsia="zh-CN"/>
              </w:rPr>
            </w:pPr>
            <w:r>
              <w:rPr>
                <w:rFonts w:hint="eastAsia" w:ascii="宋体" w:hAnsi="宋体"/>
              </w:rPr>
              <w:t>128912158810602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pPr>
              <w:jc w:val="left"/>
              <w:rPr>
                <w:rFonts w:hint="eastAsia" w:ascii="宋体" w:hAnsi="宋体"/>
              </w:rPr>
            </w:pPr>
            <w:r>
              <w:rPr>
                <w:rFonts w:hint="eastAsia" w:ascii="宋体" w:hAnsi="宋体"/>
              </w:rPr>
              <w:t>招商银行成都分行营业部</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b/>
              </w:rPr>
              <w:t>净值增长率</w:t>
            </w:r>
            <w:r>
              <w:rPr>
                <w:rFonts w:hint="eastAsia"/>
                <w: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当期（</w:t>
            </w:r>
            <w:r>
              <w:rPr>
                <w:rFonts w:ascii="宋体" w:hAnsi="宋体"/>
              </w:rPr>
              <w:t>2025-04-01</w:t>
            </w:r>
            <w:r>
              <w:rPr>
                <w:rFonts w:hint="eastAsia" w:ascii="宋体" w:hAnsi="宋体"/>
              </w:rPr>
              <w:t>至</w:t>
            </w:r>
            <w:r>
              <w:rPr>
                <w:rFonts w:ascii="宋体" w:hAnsi="宋体"/>
              </w:rPr>
              <w:t>2025-06-30</w:t>
            </w:r>
            <w:r>
              <w:rPr>
                <w:rFonts w:hint="eastAsia" w:ascii="宋体" w:hAnsi="宋体"/>
              </w:rPr>
              <w:t>）</w:t>
            </w:r>
          </w:p>
        </w:tc>
        <w:tc>
          <w:tcPr>
            <w:tcW w:w="5103" w:type="dxa"/>
            <w:vAlign w:val="center"/>
          </w:tcPr>
          <w:p>
            <w:pPr>
              <w:jc w:val="right"/>
            </w:pPr>
            <w:r>
              <w:t>0.53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自产品成立日至今</w:t>
            </w:r>
          </w:p>
        </w:tc>
        <w:tc>
          <w:tcPr>
            <w:tcW w:w="5103" w:type="dxa"/>
            <w:vAlign w:val="center"/>
          </w:tcPr>
          <w:p>
            <w:pPr>
              <w:jc w:val="right"/>
            </w:pPr>
            <w:r>
              <w:t>12.84</w:t>
            </w:r>
            <w:bookmarkStart w:id="1" w:name="OLE_LINK7"/>
            <w:bookmarkEnd w:id="1"/>
            <w:bookmarkStart w:id="2" w:name="OLE_LINK4"/>
            <w:bookmarkEnd w:id="2"/>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b/>
                <w:bCs/>
              </w:rPr>
              <w:t>项目</w:t>
            </w:r>
          </w:p>
        </w:tc>
        <w:tc>
          <w:tcPr>
            <w:tcW w:w="5027" w:type="dxa"/>
            <w:shd w:val="clear" w:color="auto" w:fill="D9D9D9"/>
            <w:vAlign w:val="center"/>
          </w:tcPr>
          <w:p>
            <w:pPr>
              <w:jc w:val="left"/>
              <w:rPr>
                <w:b/>
              </w:rPr>
            </w:pPr>
            <w:r>
              <w:rPr>
                <w:b/>
              </w:rPr>
              <w:t>2025-04-01</w:t>
            </w:r>
            <w:r>
              <w:rPr>
                <w:rFonts w:hint="eastAsia"/>
                <w:b/>
              </w:rPr>
              <w:t xml:space="preserve">至 </w:t>
            </w:r>
            <w:r>
              <w:rPr>
                <w:b/>
              </w:rPr>
              <w:t>2025-06-30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pPr>
            <w:r>
              <w:t>1,239,233.47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本期利润</w:t>
            </w:r>
          </w:p>
        </w:tc>
        <w:tc>
          <w:tcPr>
            <w:tcW w:w="5027" w:type="dxa"/>
            <w:shd w:val="clear" w:color="auto" w:fill="auto"/>
            <w:vAlign w:val="center"/>
          </w:tcPr>
          <w:p>
            <w:pPr>
              <w:ind w:hanging="1"/>
              <w:jc w:val="right"/>
            </w:pPr>
            <w:r>
              <w:rPr>
                <w:b w:val="0"/>
                <w:i w:val="0"/>
                <w:strike w:val="0"/>
                <w:u w:val="none"/>
              </w:rPr>
              <w:t>3,585,448.29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期末产品资产净值</w:t>
            </w:r>
          </w:p>
        </w:tc>
        <w:tc>
          <w:tcPr>
            <w:tcW w:w="5027" w:type="dxa"/>
            <w:shd w:val="clear" w:color="auto" w:fill="auto"/>
            <w:vAlign w:val="center"/>
          </w:tcPr>
          <w:p>
            <w:pPr>
              <w:ind w:hanging="1"/>
              <w:jc w:val="right"/>
            </w:pPr>
            <w:r>
              <w:rPr>
                <w:b w:val="0"/>
                <w:i w:val="0"/>
                <w:strike w:val="0"/>
                <w:u w:val="none"/>
              </w:rPr>
              <w:t>609,221,634.15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期末产品份额净值</w:t>
            </w:r>
          </w:p>
        </w:tc>
        <w:tc>
          <w:tcPr>
            <w:tcW w:w="5027" w:type="dxa"/>
            <w:shd w:val="clear" w:color="auto" w:fill="auto"/>
            <w:vAlign w:val="center"/>
          </w:tcPr>
          <w:p>
            <w:pPr>
              <w:ind w:hanging="1"/>
              <w:jc w:val="right"/>
            </w:pPr>
            <w:r>
              <w:rPr>
                <w:b w:val="0"/>
                <w:i w:val="0"/>
                <w:strike w:val="0"/>
                <w:u w:val="none"/>
              </w:rPr>
              <w:t>1.0028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pPr>
              <w:jc w:val="right"/>
              <w:rPr>
                <w:rFonts w:hint="eastAsia"/>
                <w:lang w:val="en-US" w:eastAsia="zh-CN"/>
              </w:rPr>
            </w:pPr>
            <w:r>
              <w:rPr>
                <w:rFonts w:hint="eastAsia"/>
              </w:rPr>
              <w:t>1.1284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pPr>
              <w:jc w:val="right"/>
              <w:rPr>
                <w:rFonts w:hint="eastAsia"/>
                <w:lang w:val="en-US" w:eastAsia="zh-CN"/>
              </w:rPr>
            </w:pPr>
            <w:r>
              <w:rPr>
                <w:rFonts w:hint="eastAsia"/>
              </w:rPr>
              <w:t>609,221,634.15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1.0028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1.1284</w:t>
            </w:r>
          </w:p>
        </w:tc>
      </w:tr>
    </w:tbl>
    <w:p>
      <w:pPr>
        <w:tabs>
          <w:tab w:val="left" w:pos="3135"/>
        </w:tabs>
        <w:ind w:left="420" w:leftChars="200"/>
      </w:pPr>
    </w:p>
    <w:p>
      <w:pPr>
        <w:pStyle w:val="40"/>
      </w:pPr>
      <w:r>
        <w:rPr>
          <w:rFonts w:hint="eastAsia"/>
        </w:rPr>
        <w:t>投资组合情况及</w:t>
      </w:r>
      <w:r>
        <w:t>流动性风险分析</w:t>
      </w: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jc w:val="right"/>
      </w:pPr>
    </w:p>
    <w:p>
      <w:pPr>
        <w:jc w:val="right"/>
      </w:pPr>
    </w:p>
    <w:p>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pPr>
            <w:r>
              <w:t>513,519,761.06</w:t>
            </w:r>
          </w:p>
        </w:tc>
        <w:tc>
          <w:tcPr>
            <w:tcW w:w="1749" w:type="dxa"/>
            <w:shd w:val="clear" w:color="auto" w:fill="auto"/>
            <w:vAlign w:val="center"/>
          </w:tcPr>
          <w:p>
            <w:pPr>
              <w:jc w:val="right"/>
            </w:pPr>
            <w:r>
              <w:t>83.66</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pPr>
            <w:r>
              <w:t>513,519,761.06</w:t>
            </w:r>
          </w:p>
        </w:tc>
        <w:tc>
          <w:tcPr>
            <w:tcW w:w="1749" w:type="dxa"/>
            <w:shd w:val="clear" w:color="auto" w:fill="auto"/>
            <w:vAlign w:val="center"/>
          </w:tcPr>
          <w:p>
            <w:pPr>
              <w:jc w:val="right"/>
            </w:pPr>
            <w:r>
              <w:t>83.66</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pPr>
            <w:r>
              <w:t>88,018,962.60</w:t>
            </w:r>
          </w:p>
        </w:tc>
        <w:tc>
          <w:tcPr>
            <w:tcW w:w="1749" w:type="dxa"/>
            <w:shd w:val="clear" w:color="auto" w:fill="auto"/>
            <w:vAlign w:val="center"/>
          </w:tcPr>
          <w:p>
            <w:pPr>
              <w:jc w:val="right"/>
            </w:pPr>
            <w:r>
              <w:t>14.34</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pPr>
            <w:r>
              <w:t>12,181,473.62</w:t>
            </w:r>
          </w:p>
        </w:tc>
        <w:tc>
          <w:tcPr>
            <w:tcW w:w="1749" w:type="dxa"/>
            <w:shd w:val="clear" w:color="auto" w:fill="auto"/>
            <w:vAlign w:val="center"/>
          </w:tcPr>
          <w:p>
            <w:pPr>
              <w:jc w:val="right"/>
            </w:pPr>
            <w:r>
              <w:t>1.98</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pPr>
            <w:r>
              <w:t>84,394.96</w:t>
            </w:r>
          </w:p>
        </w:tc>
        <w:tc>
          <w:tcPr>
            <w:tcW w:w="1749" w:type="dxa"/>
            <w:shd w:val="clear" w:color="auto" w:fill="auto"/>
            <w:vAlign w:val="center"/>
          </w:tcPr>
          <w:p>
            <w:pPr>
              <w:jc w:val="right"/>
            </w:pPr>
            <w:r>
              <w:t>0.01</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tcPr>
          <w:p>
            <w:pPr>
              <w:jc w:val="right"/>
            </w:pPr>
            <w:r>
              <w:t>613,804,592.24</w:t>
            </w:r>
          </w:p>
        </w:tc>
        <w:tc>
          <w:tcPr>
            <w:tcW w:w="1749" w:type="dxa"/>
            <w:shd w:val="clear" w:color="auto" w:fill="auto"/>
          </w:tcPr>
          <w:p>
            <w:pPr>
              <w:jc w:val="right"/>
            </w:pPr>
            <w:r>
              <w:t>100.00</w:t>
            </w:r>
          </w:p>
        </w:tc>
        <w:tc>
          <w:tcPr>
            <w:tcW w:w="1653" w:type="dxa"/>
          </w:tcPr>
          <w:p>
            <w:pPr>
              <w:jc w:val="right"/>
            </w:pPr>
            <w:r>
              <w:t>0.00</w:t>
            </w:r>
          </w:p>
        </w:tc>
        <w:tc>
          <w:tcPr>
            <w:tcW w:w="1705" w:type="dxa"/>
          </w:tcPr>
          <w:p>
            <w:pPr>
              <w:jc w:val="right"/>
            </w:pPr>
            <w:r>
              <w:t>0.00</w:t>
            </w:r>
          </w:p>
        </w:tc>
      </w:tr>
    </w:tbl>
    <w:p>
      <w:pPr>
        <w:ind w:left="420" w:leftChars="200"/>
        <w:jc w:val="left"/>
        <w:rPr>
          <w:rFonts w:ascii="宋体" w:hAnsi="宋体"/>
          <w:sz w:val="24"/>
        </w:rPr>
      </w:pPr>
    </w:p>
    <w:p>
      <w:pPr>
        <w:ind w:left="420" w:leftChars="200"/>
        <w:jc w:val="left"/>
        <w:rPr>
          <w:rFonts w:asciiTheme="minorEastAsia" w:hAnsiTheme="minorEastAsia" w:eastAsiaTheme="minorEastAsia"/>
          <w:sz w:val="24"/>
        </w:rPr>
      </w:pPr>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pPr>
        <w:widowControl/>
        <w:jc w:val="left"/>
        <w:rPr>
          <w:rFonts w:ascii="宋体" w:hAnsi="宋体"/>
          <w:sz w:val="24"/>
        </w:rPr>
      </w:pPr>
    </w:p>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szCs w:val="21"/>
              </w:rPr>
            </w:pPr>
            <w:r>
              <w:rPr>
                <w:szCs w:val="21"/>
              </w:rPr>
              <w:t>1</w:t>
            </w:r>
          </w:p>
        </w:tc>
        <w:tc>
          <w:tcPr>
            <w:tcW w:w="3159" w:type="dxa"/>
            <w:shd w:val="clear" w:color="auto" w:fill="auto"/>
            <w:vAlign w:val="center"/>
          </w:tcPr>
          <w:p>
            <w:pPr>
              <w:rPr>
                <w:rFonts w:asciiTheme="majorEastAsia" w:hAnsiTheme="majorEastAsia" w:eastAsiaTheme="majorEastAsia"/>
                <w:szCs w:val="21"/>
              </w:rPr>
            </w:pPr>
            <w:r>
              <w:rPr>
                <w:rFonts w:asciiTheme="majorEastAsia" w:hAnsiTheme="majorEastAsia" w:eastAsiaTheme="majorEastAsia"/>
                <w:szCs w:val="21"/>
              </w:rPr>
              <w:t>GC007</w:t>
            </w:r>
          </w:p>
        </w:tc>
        <w:tc>
          <w:tcPr>
            <w:tcW w:w="2693" w:type="dxa"/>
            <w:shd w:val="clear" w:color="auto" w:fill="auto"/>
            <w:vAlign w:val="center"/>
          </w:tcPr>
          <w:p>
            <w:pPr>
              <w:jc w:val="right"/>
            </w:pPr>
            <w:r>
              <w:t>88,018,962.60</w:t>
            </w:r>
          </w:p>
        </w:tc>
        <w:tc>
          <w:tcPr>
            <w:tcW w:w="2431" w:type="dxa"/>
            <w:shd w:val="clear" w:color="auto" w:fill="auto"/>
            <w:vAlign w:val="center"/>
          </w:tcPr>
          <w:p>
            <w:pPr>
              <w:jc w:val="right"/>
            </w:pPr>
            <w:bookmarkStart w:id="3" w:name="OLE_LINK6"/>
            <w:bookmarkEnd w:id="3"/>
            <w:bookmarkStart w:id="4" w:name="OLE_LINK5"/>
            <w:bookmarkEnd w:id="4"/>
            <w:r>
              <w:rPr>
                <w:rFonts w:hint="eastAsia"/>
              </w:rPr>
              <w:t>14.45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2</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24西汇投资PPN001</w:t>
            </w:r>
          </w:p>
        </w:tc>
        <w:tc>
          <w:tcPr>
            <w:tcW w:w="2693" w:type="dxa"/>
            <w:shd w:val="clear" w:color="auto" w:fill="auto"/>
            <w:vAlign w:val="center"/>
          </w:tcPr>
          <w:p>
            <w:pPr>
              <w:ind w:hanging="1"/>
              <w:jc w:val="right"/>
            </w:pPr>
            <w:r>
              <w:rPr>
                <w:b w:val="0"/>
                <w:i w:val="0"/>
                <w:strike w:val="0"/>
                <w:u w:val="none"/>
              </w:rPr>
              <w:t>35,563,797.26</w:t>
            </w:r>
          </w:p>
        </w:tc>
        <w:tc>
          <w:tcPr>
            <w:tcW w:w="2431" w:type="dxa"/>
            <w:shd w:val="clear" w:color="auto" w:fill="auto"/>
            <w:vAlign w:val="center"/>
          </w:tcPr>
          <w:p>
            <w:pPr>
              <w:ind w:hanging="1"/>
              <w:jc w:val="right"/>
            </w:pPr>
            <w:r>
              <w:rPr>
                <w:rFonts w:hint="eastAsia"/>
                <w:b w:val="0"/>
                <w:i w:val="0"/>
                <w:strike w:val="0"/>
                <w:u w:val="none"/>
              </w:rPr>
              <w:t>5.84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3</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24成都开投PPN002</w:t>
            </w:r>
          </w:p>
        </w:tc>
        <w:tc>
          <w:tcPr>
            <w:tcW w:w="2693" w:type="dxa"/>
            <w:shd w:val="clear" w:color="auto" w:fill="auto"/>
            <w:vAlign w:val="center"/>
          </w:tcPr>
          <w:p>
            <w:pPr>
              <w:ind w:hanging="1"/>
              <w:jc w:val="right"/>
            </w:pPr>
            <w:r>
              <w:rPr>
                <w:b w:val="0"/>
                <w:i w:val="0"/>
                <w:strike w:val="0"/>
                <w:u w:val="none"/>
              </w:rPr>
              <w:t>30,752,301.37</w:t>
            </w:r>
          </w:p>
        </w:tc>
        <w:tc>
          <w:tcPr>
            <w:tcW w:w="2431" w:type="dxa"/>
            <w:shd w:val="clear" w:color="auto" w:fill="auto"/>
            <w:vAlign w:val="center"/>
          </w:tcPr>
          <w:p>
            <w:pPr>
              <w:ind w:hanging="1"/>
              <w:jc w:val="right"/>
            </w:pPr>
            <w:r>
              <w:rPr>
                <w:rFonts w:hint="eastAsia"/>
                <w:b w:val="0"/>
                <w:i w:val="0"/>
                <w:strike w:val="0"/>
                <w:u w:val="none"/>
              </w:rPr>
              <w:t>5.05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4</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24兴锦农业PPN001A</w:t>
            </w:r>
          </w:p>
        </w:tc>
        <w:tc>
          <w:tcPr>
            <w:tcW w:w="2693" w:type="dxa"/>
            <w:shd w:val="clear" w:color="auto" w:fill="auto"/>
            <w:vAlign w:val="center"/>
          </w:tcPr>
          <w:p>
            <w:pPr>
              <w:ind w:hanging="1"/>
              <w:jc w:val="right"/>
            </w:pPr>
            <w:r>
              <w:rPr>
                <w:b w:val="0"/>
                <w:i w:val="0"/>
                <w:strike w:val="0"/>
                <w:u w:val="none"/>
              </w:rPr>
              <w:t>30,578,235.62</w:t>
            </w:r>
          </w:p>
        </w:tc>
        <w:tc>
          <w:tcPr>
            <w:tcW w:w="2431" w:type="dxa"/>
            <w:shd w:val="clear" w:color="auto" w:fill="auto"/>
            <w:vAlign w:val="center"/>
          </w:tcPr>
          <w:p>
            <w:pPr>
              <w:ind w:hanging="1"/>
              <w:jc w:val="right"/>
            </w:pPr>
            <w:r>
              <w:rPr>
                <w:rFonts w:hint="eastAsia"/>
                <w:b w:val="0"/>
                <w:i w:val="0"/>
                <w:strike w:val="0"/>
                <w:u w:val="none"/>
              </w:rPr>
              <w:t>5.02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5</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24乐高01</w:t>
            </w:r>
          </w:p>
        </w:tc>
        <w:tc>
          <w:tcPr>
            <w:tcW w:w="2693" w:type="dxa"/>
            <w:shd w:val="clear" w:color="auto" w:fill="auto"/>
            <w:vAlign w:val="center"/>
          </w:tcPr>
          <w:p>
            <w:pPr>
              <w:ind w:hanging="1"/>
              <w:jc w:val="right"/>
            </w:pPr>
            <w:r>
              <w:rPr>
                <w:b w:val="0"/>
                <w:i w:val="0"/>
                <w:strike w:val="0"/>
                <w:u w:val="none"/>
              </w:rPr>
              <w:t>24,869,786.30</w:t>
            </w:r>
          </w:p>
        </w:tc>
        <w:tc>
          <w:tcPr>
            <w:tcW w:w="2431" w:type="dxa"/>
            <w:shd w:val="clear" w:color="auto" w:fill="auto"/>
            <w:vAlign w:val="center"/>
          </w:tcPr>
          <w:p>
            <w:pPr>
              <w:ind w:hanging="1"/>
              <w:jc w:val="right"/>
            </w:pPr>
            <w:r>
              <w:rPr>
                <w:rFonts w:hint="eastAsia"/>
                <w:b w:val="0"/>
                <w:i w:val="0"/>
                <w:strike w:val="0"/>
                <w:u w:val="none"/>
              </w:rPr>
              <w:t>4.08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6</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24兴旅01</w:t>
            </w:r>
          </w:p>
        </w:tc>
        <w:tc>
          <w:tcPr>
            <w:tcW w:w="2693" w:type="dxa"/>
            <w:shd w:val="clear" w:color="auto" w:fill="auto"/>
            <w:vAlign w:val="center"/>
          </w:tcPr>
          <w:p>
            <w:pPr>
              <w:ind w:hanging="1"/>
              <w:jc w:val="right"/>
            </w:pPr>
            <w:r>
              <w:rPr>
                <w:b w:val="0"/>
                <w:i w:val="0"/>
                <w:strike w:val="0"/>
                <w:u w:val="none"/>
              </w:rPr>
              <w:t>21,309,068.49</w:t>
            </w:r>
          </w:p>
        </w:tc>
        <w:tc>
          <w:tcPr>
            <w:tcW w:w="2431" w:type="dxa"/>
            <w:shd w:val="clear" w:color="auto" w:fill="auto"/>
            <w:vAlign w:val="center"/>
          </w:tcPr>
          <w:p>
            <w:pPr>
              <w:ind w:hanging="1"/>
              <w:jc w:val="right"/>
            </w:pPr>
            <w:r>
              <w:rPr>
                <w:rFonts w:hint="eastAsia"/>
                <w:b w:val="0"/>
                <w:i w:val="0"/>
                <w:strike w:val="0"/>
                <w:u w:val="none"/>
              </w:rPr>
              <w:t>3.50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7</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23达州高科MTN001</w:t>
            </w:r>
          </w:p>
        </w:tc>
        <w:tc>
          <w:tcPr>
            <w:tcW w:w="2693" w:type="dxa"/>
            <w:shd w:val="clear" w:color="auto" w:fill="auto"/>
            <w:vAlign w:val="center"/>
          </w:tcPr>
          <w:p>
            <w:pPr>
              <w:ind w:hanging="1"/>
              <w:jc w:val="right"/>
            </w:pPr>
            <w:r>
              <w:rPr>
                <w:b w:val="0"/>
                <w:i w:val="0"/>
                <w:strike w:val="0"/>
                <w:u w:val="none"/>
              </w:rPr>
              <w:t>21,220,328.77</w:t>
            </w:r>
          </w:p>
        </w:tc>
        <w:tc>
          <w:tcPr>
            <w:tcW w:w="2431" w:type="dxa"/>
            <w:shd w:val="clear" w:color="auto" w:fill="auto"/>
            <w:vAlign w:val="center"/>
          </w:tcPr>
          <w:p>
            <w:pPr>
              <w:ind w:hanging="1"/>
              <w:jc w:val="right"/>
            </w:pPr>
            <w:r>
              <w:rPr>
                <w:rFonts w:hint="eastAsia"/>
                <w:b w:val="0"/>
                <w:i w:val="0"/>
                <w:strike w:val="0"/>
                <w:u w:val="none"/>
              </w:rPr>
              <w:t>3.48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8</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24南充发展PPN001</w:t>
            </w:r>
          </w:p>
        </w:tc>
        <w:tc>
          <w:tcPr>
            <w:tcW w:w="2693" w:type="dxa"/>
            <w:shd w:val="clear" w:color="auto" w:fill="auto"/>
            <w:vAlign w:val="center"/>
          </w:tcPr>
          <w:p>
            <w:pPr>
              <w:ind w:hanging="1"/>
              <w:jc w:val="right"/>
            </w:pPr>
            <w:r>
              <w:rPr>
                <w:b w:val="0"/>
                <w:i w:val="0"/>
                <w:strike w:val="0"/>
                <w:u w:val="none"/>
              </w:rPr>
              <w:t>20,897,720.55</w:t>
            </w:r>
          </w:p>
        </w:tc>
        <w:tc>
          <w:tcPr>
            <w:tcW w:w="2431" w:type="dxa"/>
            <w:shd w:val="clear" w:color="auto" w:fill="auto"/>
            <w:vAlign w:val="center"/>
          </w:tcPr>
          <w:p>
            <w:pPr>
              <w:ind w:hanging="1"/>
              <w:jc w:val="right"/>
            </w:pPr>
            <w:r>
              <w:rPr>
                <w:rFonts w:hint="eastAsia"/>
                <w:b w:val="0"/>
                <w:i w:val="0"/>
                <w:strike w:val="0"/>
                <w:u w:val="none"/>
              </w:rPr>
              <w:t>3.43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9</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24泸州产业PPN001</w:t>
            </w:r>
          </w:p>
        </w:tc>
        <w:tc>
          <w:tcPr>
            <w:tcW w:w="2693" w:type="dxa"/>
            <w:shd w:val="clear" w:color="auto" w:fill="auto"/>
            <w:vAlign w:val="center"/>
          </w:tcPr>
          <w:p>
            <w:pPr>
              <w:ind w:hanging="1"/>
              <w:jc w:val="right"/>
            </w:pPr>
            <w:r>
              <w:rPr>
                <w:b w:val="0"/>
                <w:i w:val="0"/>
                <w:strike w:val="0"/>
                <w:u w:val="none"/>
              </w:rPr>
              <w:t>20,768,191.78</w:t>
            </w:r>
          </w:p>
        </w:tc>
        <w:tc>
          <w:tcPr>
            <w:tcW w:w="2431" w:type="dxa"/>
            <w:shd w:val="clear" w:color="auto" w:fill="auto"/>
            <w:vAlign w:val="center"/>
          </w:tcPr>
          <w:p>
            <w:pPr>
              <w:ind w:hanging="1"/>
              <w:jc w:val="right"/>
            </w:pPr>
            <w:r>
              <w:rPr>
                <w:rFonts w:hint="eastAsia"/>
                <w:b w:val="0"/>
                <w:i w:val="0"/>
                <w:strike w:val="0"/>
                <w:u w:val="none"/>
              </w:rPr>
              <w:t>3.41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10</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22眉山发展PPN001</w:t>
            </w:r>
          </w:p>
        </w:tc>
        <w:tc>
          <w:tcPr>
            <w:tcW w:w="2693" w:type="dxa"/>
            <w:shd w:val="clear" w:color="auto" w:fill="auto"/>
            <w:vAlign w:val="center"/>
          </w:tcPr>
          <w:p>
            <w:pPr>
              <w:ind w:hanging="1"/>
              <w:jc w:val="right"/>
            </w:pPr>
            <w:r>
              <w:rPr>
                <w:b w:val="0"/>
                <w:i w:val="0"/>
                <w:strike w:val="0"/>
                <w:u w:val="none"/>
              </w:rPr>
              <w:t>20,389,287.67</w:t>
            </w:r>
          </w:p>
        </w:tc>
        <w:tc>
          <w:tcPr>
            <w:tcW w:w="2431" w:type="dxa"/>
            <w:shd w:val="clear" w:color="auto" w:fill="auto"/>
            <w:vAlign w:val="center"/>
          </w:tcPr>
          <w:p>
            <w:pPr>
              <w:ind w:hanging="1"/>
              <w:jc w:val="right"/>
            </w:pPr>
            <w:r>
              <w:rPr>
                <w:rFonts w:hint="eastAsia"/>
                <w:b w:val="0"/>
                <w:i w:val="0"/>
                <w:strike w:val="0"/>
                <w:u w:val="none"/>
              </w:rPr>
              <w:t>3.35</w:t>
            </w:r>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pPr>
        <w:pStyle w:val="40"/>
      </w:pPr>
      <w:r>
        <w:t>托管人报告</w:t>
      </w:r>
    </w:p>
    <w:p>
      <w:pPr>
        <w:spacing w:line="360" w:lineRule="auto"/>
        <w:ind w:right="-107" w:rightChars="-51"/>
        <w:jc w:val="left"/>
        <w:rPr>
          <w:rFonts w:hint="eastAsia" w:ascii="宋体" w:hAnsi="宋体"/>
          <w:szCs w:val="21"/>
        </w:rPr>
      </w:pPr>
      <w:r>
        <w:rPr>
          <w:rFonts w:hint="eastAsia" w:ascii="宋体" w:hAnsi="宋体"/>
          <w:szCs w:val="21"/>
        </w:rPr>
        <w:t>5.1、托管人履职情况</w:t>
      </w:r>
    </w:p>
    <w:p>
      <w:pPr>
        <w:spacing w:line="360" w:lineRule="auto"/>
        <w:ind w:right="-107" w:rightChars="-51"/>
        <w:jc w:val="left"/>
        <w:rPr>
          <w:rFonts w:hint="eastAsia" w:ascii="宋体" w:hAnsi="宋体"/>
          <w:szCs w:val="21"/>
        </w:rPr>
      </w:pPr>
      <w:r>
        <w:rPr>
          <w:rFonts w:hint="eastAsia" w:ascii="宋体" w:hAnsi="宋体"/>
          <w:szCs w:val="21"/>
        </w:rPr>
        <w:t>（一）托管资产保管</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pPr>
        <w:spacing w:line="360" w:lineRule="auto"/>
        <w:ind w:right="-107" w:rightChars="-51"/>
        <w:jc w:val="left"/>
        <w:rPr>
          <w:rFonts w:hint="eastAsia" w:ascii="宋体" w:hAnsi="宋体"/>
          <w:szCs w:val="21"/>
        </w:rPr>
      </w:pPr>
      <w:r>
        <w:rPr>
          <w:rFonts w:hint="eastAsia" w:ascii="宋体" w:hAnsi="宋体"/>
          <w:szCs w:val="21"/>
        </w:rPr>
        <w:t>（二）会计核算和估值</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pPr>
        <w:spacing w:line="360" w:lineRule="auto"/>
        <w:ind w:right="-107" w:rightChars="-51"/>
        <w:jc w:val="left"/>
        <w:rPr>
          <w:rFonts w:hint="eastAsia" w:ascii="宋体" w:hAnsi="宋体"/>
          <w:szCs w:val="21"/>
        </w:rPr>
      </w:pPr>
      <w:r>
        <w:rPr>
          <w:rFonts w:hint="eastAsia" w:ascii="宋体" w:hAnsi="宋体"/>
          <w:szCs w:val="21"/>
        </w:rPr>
        <w:t>（三）定期核对有关数据</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pPr>
        <w:spacing w:line="360" w:lineRule="auto"/>
        <w:ind w:right="-107" w:rightChars="-51"/>
        <w:jc w:val="left"/>
        <w:rPr>
          <w:rFonts w:hint="eastAsia" w:ascii="宋体" w:hAnsi="宋体"/>
          <w:szCs w:val="21"/>
        </w:rPr>
      </w:pPr>
      <w:r>
        <w:rPr>
          <w:rFonts w:hint="eastAsia" w:ascii="宋体" w:hAnsi="宋体"/>
          <w:szCs w:val="21"/>
        </w:rPr>
        <w:t>（四）投资监督</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pPr>
        <w:spacing w:line="360" w:lineRule="auto"/>
        <w:ind w:right="-107" w:rightChars="-51"/>
        <w:jc w:val="left"/>
        <w:rPr>
          <w:rFonts w:hint="eastAsia" w:ascii="宋体" w:hAnsi="宋体"/>
          <w:szCs w:val="21"/>
        </w:rPr>
      </w:pPr>
      <w:r>
        <w:rPr>
          <w:rFonts w:hint="eastAsia" w:ascii="宋体" w:hAnsi="宋体"/>
          <w:szCs w:val="21"/>
        </w:rPr>
        <w:t>5.2、托管人声明</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pPr>
        <w:pStyle w:val="40"/>
      </w:pPr>
      <w:r>
        <w:rPr>
          <w:rFonts w:hint="eastAsia"/>
          <w:lang w:val="en-US"/>
        </w:rPr>
        <w:t>关联交易情况说明</w:t>
      </w:r>
    </w:p>
    <w:p>
      <w:pPr>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highlight w:val="none"/>
          <w:lang w:val="en-US" w:eastAsia="zh-CN"/>
        </w:rPr>
        <w:t>无</w:t>
      </w:r>
      <w:r>
        <w:rPr>
          <w:rFonts w:hint="eastAsia" w:asciiTheme="minorEastAsia" w:hAnsiTheme="minorEastAsia" w:eastAsiaTheme="minorEastAsia"/>
          <w:szCs w:val="21"/>
          <w:highlight w:val="none"/>
        </w:rPr>
        <w:t>。</w:t>
      </w:r>
      <w:bookmarkStart w:id="5" w:name="_GoBack"/>
      <w:bookmarkEnd w:id="5"/>
    </w:p>
    <w:p>
      <w:pPr>
        <w:spacing w:line="360" w:lineRule="auto"/>
        <w:ind w:right="-107" w:rightChars="-51" w:firstLine="420" w:firstLineChars="200"/>
        <w:jc w:val="left"/>
        <w:rPr>
          <w:rFonts w:hint="eastAsia" w:ascii="宋体" w:hAnsi="宋体"/>
          <w:szCs w:val="21"/>
        </w:rPr>
      </w:pPr>
    </w:p>
    <w:p>
      <w:pPr>
        <w:jc w:val="left"/>
        <w:rPr>
          <w:rFonts w:asciiTheme="minorEastAsia" w:hAnsiTheme="minorEastAsia" w:eastAsiaTheme="minorEastAsia"/>
          <w:szCs w:val="21"/>
        </w:rPr>
      </w:pPr>
    </w:p>
    <w:p>
      <w:pPr>
        <w:jc w:val="right"/>
        <w:rPr>
          <w:rFonts w:ascii="宋体" w:hAnsi="宋体"/>
          <w:sz w:val="24"/>
        </w:rPr>
      </w:pPr>
    </w:p>
    <w:p>
      <w:pPr>
        <w:jc w:val="right"/>
        <w:rPr>
          <w:rFonts w:ascii="宋体" w:hAnsi="宋体"/>
          <w:sz w:val="28"/>
          <w:szCs w:val="28"/>
        </w:rPr>
      </w:pPr>
      <w:r>
        <w:rPr>
          <w:rFonts w:ascii="宋体" w:hAnsi="宋体"/>
          <w:sz w:val="28"/>
          <w:szCs w:val="28"/>
        </w:rPr>
        <w:t>四川银行股份有限公司</w:t>
      </w:r>
    </w:p>
    <w:p>
      <w:pPr>
        <w:jc w:val="right"/>
        <w:rPr>
          <w:rFonts w:ascii="宋体" w:hAnsi="宋体"/>
          <w:sz w:val="28"/>
          <w:szCs w:val="28"/>
        </w:rPr>
      </w:pPr>
      <w:r>
        <w:rPr>
          <w:rFonts w:ascii="宋体" w:hAnsi="宋体"/>
          <w:sz w:val="28"/>
          <w:szCs w:val="28"/>
        </w:rPr>
        <w:t>2025-07-15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1DD13355"/>
    <w:rsid w:val="1F246194"/>
    <w:rsid w:val="21AF23DE"/>
    <w:rsid w:val="250932D9"/>
    <w:rsid w:val="30D863E3"/>
    <w:rsid w:val="35706056"/>
    <w:rsid w:val="35844C1F"/>
    <w:rsid w:val="378A66D0"/>
    <w:rsid w:val="46050EA9"/>
    <w:rsid w:val="49D862C5"/>
    <w:rsid w:val="4B474E5A"/>
    <w:rsid w:val="51E06E0A"/>
    <w:rsid w:val="53167101"/>
    <w:rsid w:val="5B5FA6DC"/>
    <w:rsid w:val="63BE4DA7"/>
    <w:rsid w:val="6CB6511A"/>
    <w:rsid w:val="6D0D0215"/>
    <w:rsid w:val="72A65BBE"/>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178</TotalTime>
  <ScaleCrop>false</ScaleCrop>
  <LinksUpToDate>false</LinksUpToDate>
  <CharactersWithSpaces>2104</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01142875</cp:lastModifiedBy>
  <cp:lastPrinted>2411-12-31T00:00:00Z</cp:lastPrinted>
  <dcterms:modified xsi:type="dcterms:W3CDTF">2025-07-07T09:23:26Z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CF8537D5131846C3BE3005CE615F3BD9</vt:lpwstr>
  </property>
</Properties>
</file>