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四川银行定开系列6个月3号净值型理财产品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590,119,000.00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12.29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641,687.58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3,502,539.43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591,028,599.98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591,028,599.98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1.1229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446,974,100.49</w:t>
            </w:r>
          </w:p>
        </w:tc>
        <w:tc>
          <w:tcPr>
            <w:tcW w:w="1749" w:type="dxa"/>
            <w:shd w:val="clear" w:color="auto" w:fill="auto"/>
            <w:vAlign w:val="center"/>
          </w:tcPr>
          <w:p>
            <w:pPr>
              <w:jc w:val="right"/>
            </w:pPr>
            <w:r>
              <w:t>74.91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446,974,100.49</w:t>
            </w:r>
          </w:p>
        </w:tc>
        <w:tc>
          <w:tcPr>
            <w:tcW w:w="1749" w:type="dxa"/>
            <w:shd w:val="clear" w:color="auto" w:fill="auto"/>
            <w:vAlign w:val="center"/>
          </w:tcPr>
          <w:p>
            <w:pPr>
              <w:jc w:val="right"/>
            </w:pPr>
            <w:r>
              <w:t>74.91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118,025,427.12</w:t>
            </w:r>
          </w:p>
        </w:tc>
        <w:tc>
          <w:tcPr>
            <w:tcW w:w="1749" w:type="dxa"/>
            <w:shd w:val="clear" w:color="auto" w:fill="auto"/>
            <w:vAlign w:val="center"/>
          </w:tcPr>
          <w:p>
            <w:pPr>
              <w:jc w:val="right"/>
            </w:pPr>
            <w:r>
              <w:t>19.78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31,630,839.62</w:t>
            </w:r>
          </w:p>
        </w:tc>
        <w:tc>
          <w:tcPr>
            <w:tcW w:w="1749" w:type="dxa"/>
            <w:shd w:val="clear" w:color="auto" w:fill="auto"/>
            <w:vAlign w:val="center"/>
          </w:tcPr>
          <w:p>
            <w:pPr>
              <w:jc w:val="right"/>
            </w:pPr>
            <w:r>
              <w:t>5.30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77,676.12</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596,708,043.35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118,025,427.12</w:t>
            </w:r>
          </w:p>
        </w:tc>
        <w:tc>
          <w:tcPr>
            <w:tcW w:w="2431" w:type="dxa"/>
            <w:shd w:val="clear" w:color="auto" w:fill="auto"/>
            <w:vAlign w:val="center"/>
          </w:tcPr>
          <w:p>
            <w:pPr>
              <w:jc w:val="right"/>
            </w:pPr>
            <w:bookmarkStart w:id="3" w:name="OLE_LINK6"/>
            <w:bookmarkEnd w:id="3"/>
            <w:bookmarkStart w:id="4" w:name="OLE_LINK5"/>
            <w:bookmarkEnd w:id="4"/>
            <w:r>
              <w:rPr>
                <w:rFonts w:hint="eastAsia"/>
              </w:rPr>
              <w:t>19.97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42,440,657.53</w:t>
            </w:r>
          </w:p>
        </w:tc>
        <w:tc>
          <w:tcPr>
            <w:tcW w:w="2431" w:type="dxa"/>
            <w:shd w:val="clear" w:color="auto" w:fill="auto"/>
            <w:vAlign w:val="center"/>
          </w:tcPr>
          <w:p>
            <w:pPr>
              <w:ind w:hanging="1"/>
              <w:jc w:val="right"/>
            </w:pPr>
            <w:r>
              <w:rPr>
                <w:rFonts w:hint="eastAsia"/>
                <w:b w:val="0"/>
                <w:i w:val="0"/>
                <w:strike w:val="0"/>
                <w:u w:val="none"/>
              </w:rPr>
              <w:t>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22眉控01</w:t>
            </w:r>
          </w:p>
        </w:tc>
        <w:tc>
          <w:tcPr>
            <w:tcW w:w="2693" w:type="dxa"/>
            <w:shd w:val="clear" w:color="auto" w:fill="auto"/>
            <w:vAlign w:val="center"/>
          </w:tcPr>
          <w:p>
            <w:pPr>
              <w:ind w:hanging="1"/>
              <w:jc w:val="right"/>
            </w:pPr>
            <w:r>
              <w:rPr>
                <w:b w:val="0"/>
                <w:i w:val="0"/>
                <w:strike w:val="0"/>
                <w:u w:val="none"/>
              </w:rPr>
              <w:t>31,275,739.73</w:t>
            </w:r>
          </w:p>
        </w:tc>
        <w:tc>
          <w:tcPr>
            <w:tcW w:w="2431" w:type="dxa"/>
            <w:shd w:val="clear" w:color="auto" w:fill="auto"/>
            <w:vAlign w:val="center"/>
          </w:tcPr>
          <w:p>
            <w:pPr>
              <w:ind w:hanging="1"/>
              <w:jc w:val="right"/>
            </w:pPr>
            <w:r>
              <w:rPr>
                <w:rFonts w:hint="eastAsia"/>
                <w:b w:val="0"/>
                <w:i w:val="0"/>
                <w:strike w:val="0"/>
                <w:u w:val="none"/>
              </w:rPr>
              <w:t>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24成都开投PPN002</w:t>
            </w:r>
          </w:p>
        </w:tc>
        <w:tc>
          <w:tcPr>
            <w:tcW w:w="2693" w:type="dxa"/>
            <w:shd w:val="clear" w:color="auto" w:fill="auto"/>
            <w:vAlign w:val="center"/>
          </w:tcPr>
          <w:p>
            <w:pPr>
              <w:ind w:hanging="1"/>
              <w:jc w:val="right"/>
            </w:pPr>
            <w:r>
              <w:rPr>
                <w:b w:val="0"/>
                <w:i w:val="0"/>
                <w:strike w:val="0"/>
                <w:u w:val="none"/>
              </w:rPr>
              <w:t>30,752,301.37</w:t>
            </w:r>
          </w:p>
        </w:tc>
        <w:tc>
          <w:tcPr>
            <w:tcW w:w="2431" w:type="dxa"/>
            <w:shd w:val="clear" w:color="auto" w:fill="auto"/>
            <w:vAlign w:val="center"/>
          </w:tcPr>
          <w:p>
            <w:pPr>
              <w:ind w:hanging="1"/>
              <w:jc w:val="right"/>
            </w:pPr>
            <w:r>
              <w:rPr>
                <w:rFonts w:hint="eastAsia"/>
                <w:b w:val="0"/>
                <w:i w:val="0"/>
                <w:strike w:val="0"/>
                <w:u w:val="none"/>
              </w:rPr>
              <w:t>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25,570,561.65</w:t>
            </w:r>
          </w:p>
        </w:tc>
        <w:tc>
          <w:tcPr>
            <w:tcW w:w="2431" w:type="dxa"/>
            <w:shd w:val="clear" w:color="auto" w:fill="auto"/>
            <w:vAlign w:val="center"/>
          </w:tcPr>
          <w:p>
            <w:pPr>
              <w:ind w:hanging="1"/>
              <w:jc w:val="right"/>
            </w:pPr>
            <w:r>
              <w:rPr>
                <w:rFonts w:hint="eastAsia"/>
                <w:b w:val="0"/>
                <w:i w:val="0"/>
                <w:strike w:val="0"/>
                <w:u w:val="none"/>
              </w:rPr>
              <w:t>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24乐高01</w:t>
            </w:r>
          </w:p>
        </w:tc>
        <w:tc>
          <w:tcPr>
            <w:tcW w:w="2693" w:type="dxa"/>
            <w:shd w:val="clear" w:color="auto" w:fill="auto"/>
            <w:vAlign w:val="center"/>
          </w:tcPr>
          <w:p>
            <w:pPr>
              <w:ind w:hanging="1"/>
              <w:jc w:val="right"/>
            </w:pPr>
            <w:r>
              <w:rPr>
                <w:b w:val="0"/>
                <w:i w:val="0"/>
                <w:strike w:val="0"/>
                <w:u w:val="none"/>
              </w:rPr>
              <w:t>24,869,786.30</w:t>
            </w:r>
          </w:p>
        </w:tc>
        <w:tc>
          <w:tcPr>
            <w:tcW w:w="2431" w:type="dxa"/>
            <w:shd w:val="clear" w:color="auto" w:fill="auto"/>
            <w:vAlign w:val="center"/>
          </w:tcPr>
          <w:p>
            <w:pPr>
              <w:ind w:hanging="1"/>
              <w:jc w:val="right"/>
            </w:pPr>
            <w:r>
              <w:rPr>
                <w:rFonts w:hint="eastAsia"/>
                <w:b w:val="0"/>
                <w:i w:val="0"/>
                <w:strike w:val="0"/>
                <w:u w:val="none"/>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pPr>
              <w:ind w:hanging="1"/>
              <w:jc w:val="right"/>
            </w:pPr>
            <w:r>
              <w:rPr>
                <w:b w:val="0"/>
                <w:i w:val="0"/>
                <w:strike w:val="0"/>
                <w:u w:val="none"/>
              </w:rPr>
              <w:t>20,994,000.00</w:t>
            </w:r>
          </w:p>
        </w:tc>
        <w:tc>
          <w:tcPr>
            <w:tcW w:w="2431" w:type="dxa"/>
            <w:shd w:val="clear" w:color="auto" w:fill="auto"/>
            <w:vAlign w:val="center"/>
          </w:tcPr>
          <w:p>
            <w:pPr>
              <w:ind w:hanging="1"/>
              <w:jc w:val="right"/>
            </w:pPr>
            <w:r>
              <w:rPr>
                <w:rFonts w:hint="eastAsia"/>
                <w:b w:val="0"/>
                <w:i w:val="0"/>
                <w:strike w:val="0"/>
                <w:u w:val="none"/>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24龙阳天府PPN002</w:t>
            </w:r>
          </w:p>
        </w:tc>
        <w:tc>
          <w:tcPr>
            <w:tcW w:w="2693" w:type="dxa"/>
            <w:shd w:val="clear" w:color="auto" w:fill="auto"/>
            <w:vAlign w:val="center"/>
          </w:tcPr>
          <w:p>
            <w:pPr>
              <w:ind w:hanging="1"/>
              <w:jc w:val="right"/>
            </w:pPr>
            <w:r>
              <w:rPr>
                <w:b w:val="0"/>
                <w:i w:val="0"/>
                <w:strike w:val="0"/>
                <w:u w:val="none"/>
              </w:rPr>
              <w:t>20,658,016.44</w:t>
            </w:r>
          </w:p>
        </w:tc>
        <w:tc>
          <w:tcPr>
            <w:tcW w:w="2431" w:type="dxa"/>
            <w:shd w:val="clear" w:color="auto" w:fill="auto"/>
            <w:vAlign w:val="center"/>
          </w:tcPr>
          <w:p>
            <w:pPr>
              <w:ind w:hanging="1"/>
              <w:jc w:val="right"/>
            </w:pPr>
            <w:r>
              <w:rPr>
                <w:rFonts w:hint="eastAsia"/>
                <w:b w:val="0"/>
                <w:i w:val="0"/>
                <w:strike w:val="0"/>
                <w:u w:val="none"/>
              </w:rPr>
              <w:t>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24西汇投资PPN001</w:t>
            </w:r>
          </w:p>
        </w:tc>
        <w:tc>
          <w:tcPr>
            <w:tcW w:w="2693" w:type="dxa"/>
            <w:shd w:val="clear" w:color="auto" w:fill="auto"/>
            <w:vAlign w:val="center"/>
          </w:tcPr>
          <w:p>
            <w:pPr>
              <w:ind w:hanging="1"/>
              <w:jc w:val="right"/>
            </w:pPr>
            <w:r>
              <w:rPr>
                <w:b w:val="0"/>
                <w:i w:val="0"/>
                <w:strike w:val="0"/>
                <w:u w:val="none"/>
              </w:rPr>
              <w:t>20,322,169.86</w:t>
            </w:r>
          </w:p>
        </w:tc>
        <w:tc>
          <w:tcPr>
            <w:tcW w:w="2431" w:type="dxa"/>
            <w:shd w:val="clear" w:color="auto" w:fill="auto"/>
            <w:vAlign w:val="center"/>
          </w:tcPr>
          <w:p>
            <w:pPr>
              <w:ind w:hanging="1"/>
              <w:jc w:val="right"/>
            </w:pPr>
            <w:r>
              <w:rPr>
                <w:rFonts w:hint="eastAsia"/>
                <w:b w:val="0"/>
                <w:i w:val="0"/>
                <w:strike w:val="0"/>
                <w:u w:val="none"/>
              </w:rPr>
              <w:t>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20,270,060.27</w:t>
            </w:r>
          </w:p>
        </w:tc>
        <w:tc>
          <w:tcPr>
            <w:tcW w:w="2431" w:type="dxa"/>
            <w:shd w:val="clear" w:color="auto" w:fill="auto"/>
            <w:vAlign w:val="center"/>
          </w:tcPr>
          <w:p>
            <w:pPr>
              <w:ind w:hanging="1"/>
              <w:jc w:val="right"/>
            </w:pPr>
            <w:r>
              <w:rPr>
                <w:rFonts w:hint="eastAsia"/>
                <w:b w:val="0"/>
                <w:i w:val="0"/>
                <w:strike w:val="0"/>
                <w:u w:val="none"/>
              </w:rPr>
              <w:t>3.43</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5D72DC4"/>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2025-07-07T09:25:52Z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