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四川银行定开系列6个月4号净值型理财产品</w:t>
      </w:r>
    </w:p>
    <w:p>
      <w:pPr>
        <w:jc w:val="center"/>
        <w:rPr>
          <w:rFonts w:ascii="宋体" w:hAnsi="宋体"/>
          <w:b/>
          <w:bCs/>
          <w:sz w:val="48"/>
          <w:szCs w:val="30"/>
        </w:rPr>
      </w:pPr>
      <w:r>
        <w:rPr>
          <w:rFonts w:ascii="宋体" w:hAnsi="宋体"/>
          <w:b/>
          <w:bCs/>
          <w:sz w:val="48"/>
          <w:szCs w:val="30"/>
        </w:rPr>
        <w:t>2025年第2季度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自2025-04-01起至2025-06-30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四川银行定开系列6个月4号净值型理财产品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2021-12-16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399,826,000.00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[2.25%-3.25%]/年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四川银行-四川银行定开系列6个月4号净值型理财产品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128912158810906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2025-04-01</w:t>
            </w:r>
            <w:r>
              <w:rPr>
                <w:rFonts w:hint="eastAsia" w:ascii="宋体" w:hAnsi="宋体"/>
              </w:rPr>
              <w:t>至</w:t>
            </w:r>
            <w:r>
              <w:rPr>
                <w:rFonts w:ascii="宋体" w:hAnsi="宋体"/>
              </w:rPr>
              <w:t>2025-06-30</w:t>
            </w:r>
            <w:r>
              <w:rPr>
                <w:rFonts w:hint="eastAsia" w:ascii="宋体" w:hAnsi="宋体"/>
              </w:rPr>
              <w:t>）</w:t>
            </w:r>
          </w:p>
        </w:tc>
        <w:tc>
          <w:tcPr>
            <w:tcW w:w="5103" w:type="dxa"/>
            <w:vAlign w:val="center"/>
          </w:tcPr>
          <w:p>
            <w:pPr>
              <w:jc w:val="right"/>
            </w:pPr>
            <w:r>
              <w:t>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11.03</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2025-04-01</w:t>
            </w:r>
            <w:r>
              <w:rPr>
                <w:rFonts w:hint="eastAsia"/>
                <w:b/>
              </w:rPr>
              <w:t xml:space="preserve">至 </w:t>
            </w:r>
            <w:r>
              <w:rPr>
                <w:b/>
              </w:rPr>
              <w:t>2025-06-30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882,317.57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1,897,620.14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400,171,055.32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400,171,055.32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1.1103</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342,648,545.64</w:t>
            </w:r>
          </w:p>
        </w:tc>
        <w:tc>
          <w:tcPr>
            <w:tcW w:w="1749" w:type="dxa"/>
            <w:shd w:val="clear" w:color="auto" w:fill="auto"/>
            <w:vAlign w:val="center"/>
          </w:tcPr>
          <w:p>
            <w:pPr>
              <w:jc w:val="right"/>
            </w:pPr>
            <w:r>
              <w:t>84.88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342,648,545.64</w:t>
            </w:r>
          </w:p>
        </w:tc>
        <w:tc>
          <w:tcPr>
            <w:tcW w:w="1749" w:type="dxa"/>
            <w:shd w:val="clear" w:color="auto" w:fill="auto"/>
            <w:vAlign w:val="center"/>
          </w:tcPr>
          <w:p>
            <w:pPr>
              <w:jc w:val="right"/>
            </w:pPr>
            <w:r>
              <w:t>84.88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50,010,774.20</w:t>
            </w:r>
          </w:p>
        </w:tc>
        <w:tc>
          <w:tcPr>
            <w:tcW w:w="1749" w:type="dxa"/>
            <w:shd w:val="clear" w:color="auto" w:fill="auto"/>
            <w:vAlign w:val="center"/>
          </w:tcPr>
          <w:p>
            <w:pPr>
              <w:jc w:val="right"/>
            </w:pPr>
            <w:r>
              <w:t>12.39</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10,787,263.85</w:t>
            </w:r>
          </w:p>
        </w:tc>
        <w:tc>
          <w:tcPr>
            <w:tcW w:w="1749" w:type="dxa"/>
            <w:shd w:val="clear" w:color="auto" w:fill="auto"/>
            <w:vAlign w:val="center"/>
          </w:tcPr>
          <w:p>
            <w:pPr>
              <w:jc w:val="right"/>
            </w:pPr>
            <w:r>
              <w:t>2.67</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243,101.98</w:t>
            </w:r>
          </w:p>
        </w:tc>
        <w:tc>
          <w:tcPr>
            <w:tcW w:w="1749" w:type="dxa"/>
            <w:shd w:val="clear" w:color="auto" w:fill="auto"/>
            <w:vAlign w:val="center"/>
          </w:tcPr>
          <w:p>
            <w:pPr>
              <w:jc w:val="right"/>
            </w:pPr>
            <w:r>
              <w:t>0.06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403,689,685.67</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50,010,774.20</w:t>
            </w:r>
          </w:p>
        </w:tc>
        <w:tc>
          <w:tcPr>
            <w:tcW w:w="2431" w:type="dxa"/>
            <w:shd w:val="clear" w:color="auto" w:fill="auto"/>
            <w:vAlign w:val="center"/>
          </w:tcPr>
          <w:p>
            <w:pPr>
              <w:jc w:val="right"/>
            </w:pPr>
            <w:bookmarkStart w:id="3" w:name="OLE_LINK5"/>
            <w:bookmarkEnd w:id="3"/>
            <w:bookmarkStart w:id="4" w:name="OLE_LINK6"/>
            <w:bookmarkEnd w:id="4"/>
            <w:r>
              <w:rPr>
                <w:rFonts w:hint="eastAsia"/>
              </w:rPr>
              <w:t>12.50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23广安MTN001</w:t>
            </w:r>
          </w:p>
        </w:tc>
        <w:tc>
          <w:tcPr>
            <w:tcW w:w="2693" w:type="dxa"/>
            <w:shd w:val="clear" w:color="auto" w:fill="auto"/>
            <w:vAlign w:val="center"/>
          </w:tcPr>
          <w:p>
            <w:pPr>
              <w:ind w:hanging="1"/>
              <w:jc w:val="right"/>
            </w:pPr>
            <w:r>
              <w:rPr>
                <w:b w:val="0"/>
                <w:i w:val="0"/>
                <w:strike w:val="0"/>
                <w:u w:val="none"/>
              </w:rPr>
              <w:t>21,676,082.19</w:t>
            </w:r>
          </w:p>
        </w:tc>
        <w:tc>
          <w:tcPr>
            <w:tcW w:w="2431" w:type="dxa"/>
            <w:shd w:val="clear" w:color="auto" w:fill="auto"/>
            <w:vAlign w:val="center"/>
          </w:tcPr>
          <w:p>
            <w:pPr>
              <w:ind w:hanging="1"/>
              <w:jc w:val="right"/>
            </w:pPr>
            <w:r>
              <w:rPr>
                <w:rFonts w:hint="eastAsia"/>
                <w:b w:val="0"/>
                <w:i w:val="0"/>
                <w:strike w:val="0"/>
                <w:u w:val="none"/>
              </w:rPr>
              <w:t>5.42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24南充发展PPN001</w:t>
            </w:r>
          </w:p>
        </w:tc>
        <w:tc>
          <w:tcPr>
            <w:tcW w:w="2693" w:type="dxa"/>
            <w:shd w:val="clear" w:color="auto" w:fill="auto"/>
            <w:vAlign w:val="center"/>
          </w:tcPr>
          <w:p>
            <w:pPr>
              <w:ind w:hanging="1"/>
              <w:jc w:val="right"/>
            </w:pPr>
            <w:r>
              <w:rPr>
                <w:b w:val="0"/>
                <w:i w:val="0"/>
                <w:strike w:val="0"/>
                <w:u w:val="none"/>
              </w:rPr>
              <w:t>20,897,720.55</w:t>
            </w:r>
          </w:p>
        </w:tc>
        <w:tc>
          <w:tcPr>
            <w:tcW w:w="2431" w:type="dxa"/>
            <w:shd w:val="clear" w:color="auto" w:fill="auto"/>
            <w:vAlign w:val="center"/>
          </w:tcPr>
          <w:p>
            <w:pPr>
              <w:ind w:hanging="1"/>
              <w:jc w:val="right"/>
            </w:pPr>
            <w:r>
              <w:rPr>
                <w:rFonts w:hint="eastAsia"/>
                <w:b w:val="0"/>
                <w:i w:val="0"/>
                <w:strike w:val="0"/>
                <w:u w:val="none"/>
              </w:rPr>
              <w:t>5.22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23达州投资MTN001</w:t>
            </w:r>
          </w:p>
        </w:tc>
        <w:tc>
          <w:tcPr>
            <w:tcW w:w="2693" w:type="dxa"/>
            <w:shd w:val="clear" w:color="auto" w:fill="auto"/>
            <w:vAlign w:val="center"/>
          </w:tcPr>
          <w:p>
            <w:pPr>
              <w:ind w:hanging="1"/>
              <w:jc w:val="right"/>
            </w:pPr>
            <w:r>
              <w:rPr>
                <w:b w:val="0"/>
                <w:i w:val="0"/>
                <w:strike w:val="0"/>
                <w:u w:val="none"/>
              </w:rPr>
              <w:t>20,691,736.99</w:t>
            </w:r>
          </w:p>
        </w:tc>
        <w:tc>
          <w:tcPr>
            <w:tcW w:w="2431" w:type="dxa"/>
            <w:shd w:val="clear" w:color="auto" w:fill="auto"/>
            <w:vAlign w:val="center"/>
          </w:tcPr>
          <w:p>
            <w:pPr>
              <w:ind w:hanging="1"/>
              <w:jc w:val="right"/>
            </w:pPr>
            <w:r>
              <w:rPr>
                <w:rFonts w:hint="eastAsia"/>
                <w:b w:val="0"/>
                <w:i w:val="0"/>
                <w:strike w:val="0"/>
                <w:u w:val="none"/>
              </w:rPr>
              <w:t>5.17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25眉资03</w:t>
            </w:r>
          </w:p>
        </w:tc>
        <w:tc>
          <w:tcPr>
            <w:tcW w:w="2693" w:type="dxa"/>
            <w:shd w:val="clear" w:color="auto" w:fill="auto"/>
            <w:vAlign w:val="center"/>
          </w:tcPr>
          <w:p>
            <w:pPr>
              <w:ind w:hanging="1"/>
              <w:jc w:val="right"/>
            </w:pPr>
            <w:r>
              <w:rPr>
                <w:b w:val="0"/>
                <w:i w:val="0"/>
                <w:strike w:val="0"/>
                <w:u w:val="none"/>
              </w:rPr>
              <w:t>20,102,547.95</w:t>
            </w:r>
          </w:p>
        </w:tc>
        <w:tc>
          <w:tcPr>
            <w:tcW w:w="2431" w:type="dxa"/>
            <w:shd w:val="clear" w:color="auto" w:fill="auto"/>
            <w:vAlign w:val="center"/>
          </w:tcPr>
          <w:p>
            <w:pPr>
              <w:ind w:hanging="1"/>
              <w:jc w:val="right"/>
            </w:pPr>
            <w:r>
              <w:rPr>
                <w:rFonts w:hint="eastAsia"/>
                <w:b w:val="0"/>
                <w:i w:val="0"/>
                <w:strike w:val="0"/>
                <w:u w:val="none"/>
              </w:rPr>
              <w:t>5.02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25泸发01</w:t>
            </w:r>
          </w:p>
        </w:tc>
        <w:tc>
          <w:tcPr>
            <w:tcW w:w="2693" w:type="dxa"/>
            <w:shd w:val="clear" w:color="auto" w:fill="auto"/>
            <w:vAlign w:val="center"/>
          </w:tcPr>
          <w:p>
            <w:pPr>
              <w:ind w:hanging="1"/>
              <w:jc w:val="right"/>
            </w:pPr>
            <w:r>
              <w:rPr>
                <w:b w:val="0"/>
                <w:i w:val="0"/>
                <w:strike w:val="0"/>
                <w:u w:val="none"/>
              </w:rPr>
              <w:t>20,048,383.56</w:t>
            </w:r>
          </w:p>
        </w:tc>
        <w:tc>
          <w:tcPr>
            <w:tcW w:w="2431" w:type="dxa"/>
            <w:shd w:val="clear" w:color="auto" w:fill="auto"/>
            <w:vAlign w:val="center"/>
          </w:tcPr>
          <w:p>
            <w:pPr>
              <w:ind w:hanging="1"/>
              <w:jc w:val="right"/>
            </w:pPr>
            <w:r>
              <w:rPr>
                <w:rFonts w:hint="eastAsia"/>
                <w:b w:val="0"/>
                <w:i w:val="0"/>
                <w:strike w:val="0"/>
                <w:u w:val="none"/>
              </w:rPr>
              <w:t>5.01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25自贡高新MTN001</w:t>
            </w:r>
          </w:p>
        </w:tc>
        <w:tc>
          <w:tcPr>
            <w:tcW w:w="2693" w:type="dxa"/>
            <w:shd w:val="clear" w:color="auto" w:fill="auto"/>
            <w:vAlign w:val="center"/>
          </w:tcPr>
          <w:p>
            <w:pPr>
              <w:ind w:hanging="1"/>
              <w:jc w:val="right"/>
            </w:pPr>
            <w:r>
              <w:rPr>
                <w:b w:val="0"/>
                <w:i w:val="0"/>
                <w:strike w:val="0"/>
                <w:u w:val="none"/>
              </w:rPr>
              <w:t>19,990,136.99</w:t>
            </w:r>
          </w:p>
        </w:tc>
        <w:tc>
          <w:tcPr>
            <w:tcW w:w="2431" w:type="dxa"/>
            <w:shd w:val="clear" w:color="auto" w:fill="auto"/>
            <w:vAlign w:val="center"/>
          </w:tcPr>
          <w:p>
            <w:pPr>
              <w:ind w:hanging="1"/>
              <w:jc w:val="right"/>
            </w:pPr>
            <w:r>
              <w:rPr>
                <w:rFonts w:hint="eastAsia"/>
                <w:b w:val="0"/>
                <w:i w:val="0"/>
                <w:strike w:val="0"/>
                <w:u w:val="none"/>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25重庆三峡银行CD035</w:t>
            </w:r>
          </w:p>
        </w:tc>
        <w:tc>
          <w:tcPr>
            <w:tcW w:w="2693" w:type="dxa"/>
            <w:shd w:val="clear" w:color="auto" w:fill="auto"/>
            <w:vAlign w:val="center"/>
          </w:tcPr>
          <w:p>
            <w:pPr>
              <w:ind w:hanging="1"/>
              <w:jc w:val="right"/>
            </w:pPr>
            <w:r>
              <w:rPr>
                <w:b w:val="0"/>
                <w:i w:val="0"/>
                <w:strike w:val="0"/>
                <w:u w:val="none"/>
              </w:rPr>
              <w:t>19,764,592.16</w:t>
            </w:r>
          </w:p>
        </w:tc>
        <w:tc>
          <w:tcPr>
            <w:tcW w:w="2431" w:type="dxa"/>
            <w:shd w:val="clear" w:color="auto" w:fill="auto"/>
            <w:vAlign w:val="center"/>
          </w:tcPr>
          <w:p>
            <w:pPr>
              <w:ind w:hanging="1"/>
              <w:jc w:val="right"/>
            </w:pPr>
            <w:r>
              <w:rPr>
                <w:rFonts w:hint="eastAsia"/>
                <w:b w:val="0"/>
                <w:i w:val="0"/>
                <w:strike w:val="0"/>
                <w:u w:val="none"/>
              </w:rPr>
              <w:t>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24达州03</w:t>
            </w:r>
          </w:p>
        </w:tc>
        <w:tc>
          <w:tcPr>
            <w:tcW w:w="2693" w:type="dxa"/>
            <w:shd w:val="clear" w:color="auto" w:fill="auto"/>
            <w:vAlign w:val="center"/>
          </w:tcPr>
          <w:p>
            <w:pPr>
              <w:ind w:hanging="1"/>
              <w:jc w:val="right"/>
            </w:pPr>
            <w:r>
              <w:rPr>
                <w:b w:val="0"/>
                <w:i w:val="0"/>
                <w:strike w:val="0"/>
                <w:u w:val="none"/>
              </w:rPr>
              <w:t>17,262,698.90</w:t>
            </w:r>
          </w:p>
        </w:tc>
        <w:tc>
          <w:tcPr>
            <w:tcW w:w="2431" w:type="dxa"/>
            <w:shd w:val="clear" w:color="auto" w:fill="auto"/>
            <w:vAlign w:val="center"/>
          </w:tcPr>
          <w:p>
            <w:pPr>
              <w:ind w:hanging="1"/>
              <w:jc w:val="right"/>
            </w:pPr>
            <w:r>
              <w:rPr>
                <w:rFonts w:hint="eastAsia"/>
                <w:b w:val="0"/>
                <w:i w:val="0"/>
                <w:strike w:val="0"/>
                <w:u w:val="none"/>
              </w:rPr>
              <w:t>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24日照银行CD122</w:t>
            </w:r>
          </w:p>
        </w:tc>
        <w:tc>
          <w:tcPr>
            <w:tcW w:w="2693" w:type="dxa"/>
            <w:shd w:val="clear" w:color="auto" w:fill="auto"/>
            <w:vAlign w:val="center"/>
          </w:tcPr>
          <w:p>
            <w:pPr>
              <w:ind w:hanging="1"/>
              <w:jc w:val="right"/>
            </w:pPr>
            <w:r>
              <w:rPr>
                <w:b w:val="0"/>
                <w:i w:val="0"/>
                <w:strike w:val="0"/>
                <w:u w:val="none"/>
              </w:rPr>
              <w:t>14,940,327.62</w:t>
            </w:r>
          </w:p>
        </w:tc>
        <w:tc>
          <w:tcPr>
            <w:tcW w:w="2431" w:type="dxa"/>
            <w:shd w:val="clear" w:color="auto" w:fill="auto"/>
            <w:vAlign w:val="center"/>
          </w:tcPr>
          <w:p>
            <w:pPr>
              <w:ind w:hanging="1"/>
              <w:jc w:val="right"/>
            </w:pPr>
            <w:r>
              <w:rPr>
                <w:rFonts w:hint="eastAsia"/>
                <w:b w:val="0"/>
                <w:i w:val="0"/>
                <w:strike w:val="0"/>
                <w:u w:val="none"/>
              </w:rPr>
              <w:t>3.73</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pPr>
        <w:spacing w:line="360" w:lineRule="auto"/>
        <w:ind w:right="-107" w:rightChars="-51" w:firstLine="420" w:firstLineChars="200"/>
        <w:jc w:val="left"/>
        <w:rPr>
          <w:rFonts w:hint="eastAsia" w:ascii="宋体" w:hAnsi="宋体"/>
          <w:szCs w:val="21"/>
        </w:rPr>
      </w:pPr>
      <w:bookmarkStart w:id="5" w:name="_GoBack"/>
      <w:bookmarkEnd w:id="5"/>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34E0FB3"/>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240</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2025-07-07T10:29:41Z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