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Times New Roman"/>
          <w:b/>
          <w:color w:val="000000"/>
          <w:kern w:val="0"/>
          <w:sz w:val="36"/>
          <w:szCs w:val="20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36"/>
          <w:szCs w:val="20"/>
        </w:rPr>
        <w:t>川银系列“美日利”人民币理财产品</w:t>
      </w:r>
    </w:p>
    <w:p>
      <w:pPr>
        <w:widowControl/>
        <w:bidi w:val="0"/>
        <w:jc w:val="center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/>
          <w:color w:val="000000"/>
          <w:kern w:val="0"/>
          <w:sz w:val="36"/>
          <w:szCs w:val="20"/>
        </w:rPr>
        <w:t>2025年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36"/>
          <w:szCs w:val="20"/>
          <w:lang w:val="en-US" w:eastAsia="zh-CN"/>
        </w:rPr>
        <w:t>上半年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36"/>
          <w:szCs w:val="20"/>
          <w:lang w:eastAsia="en-US"/>
        </w:rPr>
        <w:t>报告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01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1日-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06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</w:p>
    <w:p>
      <w:pPr>
        <w:jc w:val="center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§1  重要提示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产品管理人保证本报告所载资料不存在虚假记载、误导性陈述或重大遗漏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,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并对其内容的真实性、准确性和完整性承担个别及连带责任。</w:t>
      </w:r>
      <w:bookmarkStart w:id="0" w:name="_GoBack"/>
      <w:bookmarkEnd w:id="0"/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产品托管人中国工商银行股份有限公司，已复核了本报告中的财务指标、净值表现和投资组合报告等内容，保证复核内容不存在虚假记载、误导性陈述或者重大遗漏。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br w:type="textWrapping"/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本报告中财务资料未经审计。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本报告期自起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01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1日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至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zh-CN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06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val="en-US" w:eastAsia="zh-CN"/>
        </w:rPr>
        <w:t>30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  <w:t>日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止。</w:t>
      </w:r>
    </w:p>
    <w:p>
      <w:pPr>
        <w:widowControl/>
        <w:bidi w:val="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§2  产品概况</w:t>
      </w:r>
    </w:p>
    <w:p>
      <w:pPr>
        <w:widowControl/>
        <w:bidi w:val="0"/>
        <w:jc w:val="center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tbl>
      <w:tblPr>
        <w:tblStyle w:val="2"/>
        <w:tblW w:w="75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7"/>
        <w:gridCol w:w="56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867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产品名称</w:t>
            </w:r>
          </w:p>
        </w:tc>
        <w:tc>
          <w:tcPr>
            <w:tcW w:w="5677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川银系列“美日利”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人民币理财产品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产品登记编码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C1079020000071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仿宋"/>
                <w:lang w:eastAsia="zh-CN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eastAsia="zh-CN"/>
              </w:rPr>
              <w:t>净值型理财产品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报告期末产品存续规模（份）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highlight w:val="none"/>
                <w:lang w:val="en-US" w:eastAsia="zh-CN"/>
              </w:rPr>
              <w:t>3,558,153,344.87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收益类型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非保本浮动收益型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发行方式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公募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投资范围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spacing w:before="199" w:after="199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</w:rPr>
              <w:t>100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lang w:val="en-US" w:eastAsia="zh-CN"/>
              </w:rPr>
              <w:t>%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</w:rPr>
              <w:t>投资于期限在1年以内（含1年）的银行活期存款及银行定期存款、债券回购、中央银行票据、同业存单，剩余期限在397天以内（含397天）的债券、在银行间市场和证券交易所市场发行的资产支持证券，以及银保监会、中国人民银行认可的其他具有良好流动性的货币市场工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产品成立日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2020年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 xml:space="preserve">月3日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产品终止日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2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119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杠杆水平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highlight w:val="none"/>
                <w:lang w:val="en-US" w:eastAsia="zh-CN"/>
              </w:rPr>
              <w:t>100.06%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风险等级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lang w:val="en-US" w:eastAsia="zh-CN"/>
              </w:rPr>
              <w:t>1级：低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  <w:szCs w:val="22"/>
              </w:rPr>
              <w:t>产品管理人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  <w:szCs w:val="22"/>
              </w:rPr>
              <w:t>四川银行股份有限公司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867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/>
                <w:i w:val="0"/>
                <w:color w:val="000000"/>
                <w:sz w:val="24"/>
              </w:rPr>
              <w:t>产品托管人</w:t>
            </w:r>
          </w:p>
        </w:tc>
        <w:tc>
          <w:tcPr>
            <w:tcW w:w="5677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bidi w:val="0"/>
              <w:jc w:val="left"/>
            </w:pPr>
            <w:r>
              <w:rPr>
                <w:rFonts w:ascii="仿宋" w:hAnsi="仿宋" w:eastAsia="仿宋"/>
                <w:b w:val="0"/>
                <w:i w:val="0"/>
                <w:color w:val="000000"/>
                <w:sz w:val="24"/>
              </w:rPr>
              <w:t>中国工商银行股份有限公司</w:t>
            </w:r>
          </w:p>
        </w:tc>
      </w:tr>
    </w:tbl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both"/>
        <w:rPr>
          <w:rFonts w:ascii="仿宋" w:hAnsi="仿宋" w:eastAsia="仿宋" w:cs="Times New Roman"/>
          <w:b w:val="0"/>
          <w:i w:val="0"/>
          <w:color w:val="000000"/>
          <w:kern w:val="0"/>
          <w:sz w:val="20"/>
          <w:szCs w:val="20"/>
          <w:lang w:eastAsia="en-US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§3  产品业绩表现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单位：人民币元</w:t>
      </w:r>
    </w:p>
    <w:p>
      <w:pPr>
        <w:jc w:val="righ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tbl>
      <w:tblPr>
        <w:tblStyle w:val="2"/>
        <w:tblpPr w:leftFromText="180" w:rightFromText="180" w:vertAnchor="text" w:horzAnchor="page" w:tblpXSpec="center" w:tblpY="-17"/>
        <w:tblOverlap w:val="never"/>
        <w:tblW w:w="89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  <w:gridCol w:w="58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主要财务指标</w:t>
            </w:r>
          </w:p>
        </w:tc>
        <w:tc>
          <w:tcPr>
            <w:tcW w:w="589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报告期（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202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en-US"/>
              </w:rPr>
              <w:t>5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en-US"/>
              </w:rPr>
              <w:t>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en-US"/>
              </w:rPr>
              <w:t>0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1日至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202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en-US"/>
              </w:rPr>
              <w:t>5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年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en-US"/>
              </w:rPr>
              <w:t>0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en-US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0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1.期末产品资产净值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highlight w:val="none"/>
                <w:lang w:val="en-US" w:eastAsia="zh-CN"/>
              </w:rPr>
              <w:t>3,558,153,344.87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0"/>
                <w:lang w:eastAsia="en-US"/>
              </w:rPr>
              <w:t>2.期末产品份额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i w:val="0"/>
                <w:color w:val="000000"/>
                <w:sz w:val="24"/>
                <w:szCs w:val="22"/>
                <w:highlight w:val="none"/>
                <w:lang w:val="en-US" w:eastAsia="zh-CN"/>
              </w:rPr>
              <w:t>3,558,153,344.87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3080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3.期末产品份额净值</w:t>
            </w:r>
          </w:p>
        </w:tc>
        <w:tc>
          <w:tcPr>
            <w:tcW w:w="589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left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1.0000</w:t>
            </w:r>
          </w:p>
        </w:tc>
      </w:tr>
    </w:tbl>
    <w:p>
      <w:pPr>
        <w:jc w:val="left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  <w:highlight w:val="none"/>
        </w:rPr>
      </w:pPr>
      <w:r>
        <w:rPr>
          <w:rFonts w:ascii="仿宋" w:hAnsi="仿宋" w:eastAsia="仿宋"/>
          <w:b w:val="0"/>
          <w:i w:val="0"/>
          <w:color w:val="000000"/>
          <w:sz w:val="24"/>
        </w:rPr>
        <w:t>报告期内保持对市场的密切关注，运用多种方式为客户创造收益，</w:t>
      </w:r>
      <w:r>
        <w:rPr>
          <w:rFonts w:hint="eastAsia" w:ascii="仿宋" w:hAnsi="仿宋" w:eastAsia="仿宋"/>
          <w:b w:val="0"/>
          <w:i w:val="0"/>
          <w:color w:val="000000"/>
          <w:sz w:val="24"/>
          <w:lang w:eastAsia="zh-CN"/>
        </w:rPr>
        <w:t>季度末产品基金单位当日</w:t>
      </w:r>
      <w:r>
        <w:rPr>
          <w:rFonts w:hint="eastAsia" w:ascii="仿宋" w:hAnsi="仿宋" w:eastAsia="仿宋"/>
          <w:b w:val="0"/>
          <w:i w:val="0"/>
          <w:color w:val="000000"/>
          <w:sz w:val="24"/>
          <w:highlight w:val="none"/>
          <w:lang w:eastAsia="zh-CN"/>
        </w:rPr>
        <w:t>收益为</w:t>
      </w:r>
      <w:r>
        <w:rPr>
          <w:rFonts w:hint="eastAsia" w:ascii="仿宋" w:hAnsi="仿宋" w:eastAsia="仿宋"/>
          <w:b w:val="0"/>
          <w:i w:val="0"/>
          <w:color w:val="000000"/>
          <w:sz w:val="24"/>
          <w:highlight w:val="none"/>
          <w:lang w:val="en-US" w:eastAsia="zh-CN"/>
        </w:rPr>
        <w:t>0.4791，七日年化为1.7403</w:t>
      </w:r>
      <w:r>
        <w:rPr>
          <w:rFonts w:ascii="仿宋" w:hAnsi="仿宋" w:eastAsia="仿宋"/>
          <w:b w:val="0"/>
          <w:i w:val="0"/>
          <w:color w:val="000000"/>
          <w:sz w:val="24"/>
          <w:highlight w:val="none"/>
        </w:rPr>
        <w:t>。</w:t>
      </w:r>
    </w:p>
    <w:p>
      <w:pPr>
        <w:jc w:val="left"/>
        <w:rPr>
          <w:rFonts w:ascii="仿宋" w:hAnsi="仿宋" w:eastAsia="仿宋"/>
          <w:b w:val="0"/>
          <w:i w:val="0"/>
          <w:color w:val="000000"/>
          <w:sz w:val="24"/>
        </w:rPr>
      </w:pP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§4  产品投资策略和运作分析</w:t>
      </w:r>
    </w:p>
    <w:p>
      <w:pPr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4.1 报告期内产品投资策略和运作分析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产品设立严格符合资管新规要求，投资策略为持有到期。产品自2020年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9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月成立以来，累计管理规模</w:t>
      </w:r>
      <w:r>
        <w:rPr>
          <w:rFonts w:hint="eastAsia" w:ascii="仿宋" w:hAnsi="仿宋" w:eastAsia="仿宋"/>
          <w:b w:val="0"/>
          <w:i w:val="0"/>
          <w:color w:val="000000"/>
          <w:sz w:val="24"/>
          <w:szCs w:val="22"/>
          <w:highlight w:val="none"/>
          <w:lang w:val="en-US" w:eastAsia="zh-CN"/>
        </w:rPr>
        <w:t>3,558,153,344.87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元，截止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202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en-US"/>
        </w:rPr>
        <w:t>5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年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en-US"/>
        </w:rPr>
        <w:t>0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月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en-US"/>
        </w:rPr>
        <w:t>3</w:t>
      </w: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val="en-US" w:eastAsia="zh-CN"/>
        </w:rPr>
        <w:t>0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日，净值</w:t>
      </w:r>
      <w:r>
        <w:rPr>
          <w:rFonts w:hint="eastAsia" w:ascii="仿宋" w:hAnsi="仿宋" w:eastAsia="仿宋"/>
          <w:b w:val="0"/>
          <w:i w:val="0"/>
          <w:color w:val="000000"/>
          <w:sz w:val="24"/>
          <w:szCs w:val="22"/>
          <w:highlight w:val="none"/>
          <w:lang w:val="en-US" w:eastAsia="zh-CN"/>
        </w:rPr>
        <w:t>3,558,153,344.87</w:t>
      </w: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4.2报告期内产品主要投资风险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 产品的投资品种价格受经济因素、政治因素、投资心理和交易制度等各种因素影响而波动，导致收益水平变化产生风险。主要包括：政策风险、经济周期风险、利率风险、信用风险、再投资风险等。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4.3产品流动性风险分析</w:t>
      </w:r>
    </w:p>
    <w:p>
      <w:pPr>
        <w:widowControl/>
        <w:bidi w:val="0"/>
        <w:jc w:val="left"/>
        <w:rPr>
          <w:rFonts w:ascii="Times New Roman" w:hAnsi="Times New Roman" w:eastAsia="宋体" w:cs="Times New Roman"/>
          <w:kern w:val="0"/>
          <w:sz w:val="20"/>
          <w:szCs w:val="20"/>
          <w:lang w:eastAsia="en-US"/>
        </w:rPr>
      </w:pPr>
      <w:r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 xml:space="preserve">    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  <w:r>
        <w:rPr>
          <w:rFonts w:hint="eastAsia"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  <w:t>本产品主要投资范围为标准化资产，并保有一定流动性储备，整体流动性风险可控。本产品通过额度控制、动态监测、正回购及变现高流动性资产的方式应对流动性风险。具体包括：一是跟踪资金申购赎回情况，提前备付流动资金；二是根据产品的期限，合理安排投资资产剩余期限，预防流动性风险；三是产品持有一定比例的高流动性资产，赎回期前主要通过储备的流动性或卖出资产变现，满足产品的流动性需求。</w:t>
      </w:r>
    </w:p>
    <w:p>
      <w:pPr>
        <w:ind w:firstLine="480"/>
        <w:jc w:val="left"/>
        <w:rPr>
          <w:rFonts w:ascii="仿宋" w:hAnsi="仿宋" w:eastAsia="仿宋" w:cs="Times New Roman"/>
          <w:b w:val="0"/>
          <w:i w:val="0"/>
          <w:color w:val="000000"/>
          <w:kern w:val="0"/>
          <w:sz w:val="24"/>
          <w:szCs w:val="20"/>
          <w:lang w:eastAsia="en-US"/>
        </w:rPr>
      </w:pP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§5 投资组合报告</w:t>
      </w:r>
    </w:p>
    <w:p>
      <w:pPr>
        <w:bidi w:val="0"/>
        <w:jc w:val="center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5.1 产品投资资产种类</w:t>
      </w:r>
    </w:p>
    <w:tbl>
      <w:tblPr>
        <w:tblStyle w:val="2"/>
        <w:tblW w:w="93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3320"/>
        <w:gridCol w:w="2919"/>
        <w:gridCol w:w="23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3320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项目</w:t>
            </w:r>
          </w:p>
        </w:tc>
        <w:tc>
          <w:tcPr>
            <w:tcW w:w="291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面值(元)</w:t>
            </w:r>
          </w:p>
        </w:tc>
        <w:tc>
          <w:tcPr>
            <w:tcW w:w="2385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产品总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%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固定收益投资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</w:rPr>
              <w:t>3,112,574,484.05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87.43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其中：债券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</w:rPr>
              <w:t>3,112,574,484.05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87.43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3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资产支持证券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4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权益投资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5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其中：股票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6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基金投资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7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信托投资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8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8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金融衍生品投资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9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250,042,394.75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7.02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0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 xml:space="preserve">  其中：买断式回购的买入返售金融资产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1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银行存款和结算备付金合计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</w:rPr>
              <w:t>197,648,303.51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5.55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righ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numPr>
                <w:ilvl w:val="0"/>
                <w:numId w:val="12"/>
              </w:numPr>
              <w:bidi w:val="0"/>
              <w:ind w:left="720" w:hanging="36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其他资产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89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总计</w:t>
            </w:r>
          </w:p>
        </w:tc>
        <w:tc>
          <w:tcPr>
            <w:tcW w:w="291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 xml:space="preserve">3,560,265,182.31 </w:t>
            </w:r>
          </w:p>
        </w:tc>
        <w:tc>
          <w:tcPr>
            <w:tcW w:w="2385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100.00</w:t>
            </w:r>
          </w:p>
        </w:tc>
      </w:tr>
    </w:tbl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  <w:r>
        <w:rPr>
          <w:rFonts w:ascii="仿宋" w:hAnsi="仿宋" w:eastAsia="仿宋"/>
          <w:b/>
          <w:i w:val="0"/>
          <w:color w:val="000000"/>
          <w:sz w:val="24"/>
        </w:rPr>
        <w:t>5.2 前十大资产持仓情况</w:t>
      </w:r>
    </w:p>
    <w:tbl>
      <w:tblPr>
        <w:tblStyle w:val="2"/>
        <w:tblW w:w="93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2129"/>
        <w:gridCol w:w="1991"/>
        <w:gridCol w:w="2203"/>
        <w:gridCol w:w="23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double" w:color="000000" w:sz="2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序号</w:t>
            </w:r>
          </w:p>
        </w:tc>
        <w:tc>
          <w:tcPr>
            <w:tcW w:w="2129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资产名称</w:t>
            </w:r>
          </w:p>
        </w:tc>
        <w:tc>
          <w:tcPr>
            <w:tcW w:w="1991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资产面值(元)</w:t>
            </w:r>
          </w:p>
        </w:tc>
        <w:tc>
          <w:tcPr>
            <w:tcW w:w="2203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资产公允价值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元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）</w:t>
            </w:r>
          </w:p>
        </w:tc>
        <w:tc>
          <w:tcPr>
            <w:tcW w:w="2366" w:type="dxa"/>
            <w:tcBorders>
              <w:top w:val="double" w:color="000000" w:sz="2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top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占</w:t>
            </w: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zh-CN"/>
              </w:rPr>
              <w:t>产品净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资产比例(</w:t>
            </w: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%</w:t>
            </w: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25长沙银行CD062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140,000,000.00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 xml:space="preserve">139,940,500.00 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3.93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eastAsia="en-US"/>
              </w:rPr>
            </w:pPr>
            <w:r>
              <w:rPr>
                <w:rFonts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25晋商银行CD052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99,971,200.00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25江苏江南农村商业银行CD038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99,894,100.00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25东莞银行CD047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99,779,000.00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25广州农村商业银行CD023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99,7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48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25贵阳银行CD053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99,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461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30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 xml:space="preserve">0.00 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25郑州银行CD048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99,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333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8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25贵州银行CD011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8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953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7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25中原银行CD138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100,000,000.00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98,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8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8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2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00.00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single" w:color="D3D3D3" w:sz="6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  <w:t>2.78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38" w:type="dxa"/>
            <w:tcBorders>
              <w:top w:val="single" w:color="D3D3D3" w:sz="6" w:space="0"/>
              <w:left w:val="double" w:color="000000" w:sz="2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2129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widowControl/>
              <w:bidi w:val="0"/>
              <w:jc w:val="center"/>
              <w:rPr>
                <w:rFonts w:hint="eastAsia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0"/>
                <w:lang w:val="en-US" w:eastAsia="zh-CN"/>
              </w:rPr>
              <w:t>25桂林银行CD045</w:t>
            </w:r>
          </w:p>
        </w:tc>
        <w:tc>
          <w:tcPr>
            <w:tcW w:w="1991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single" w:color="D3D3D3" w:sz="6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90,000,000.00</w:t>
            </w:r>
          </w:p>
        </w:tc>
        <w:tc>
          <w:tcPr>
            <w:tcW w:w="2203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89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531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b w:val="0"/>
                <w:sz w:val="24"/>
                <w:lang w:val="en-US" w:eastAsia="zh-CN"/>
              </w:rPr>
              <w:t>280</w:t>
            </w:r>
            <w:r>
              <w:rPr>
                <w:rFonts w:hint="default" w:ascii="仿宋" w:hAnsi="仿宋" w:eastAsia="仿宋"/>
                <w:b w:val="0"/>
                <w:sz w:val="24"/>
                <w:lang w:val="en-US" w:eastAsia="zh-CN"/>
              </w:rPr>
              <w:t xml:space="preserve">.00 </w:t>
            </w:r>
          </w:p>
        </w:tc>
        <w:tc>
          <w:tcPr>
            <w:tcW w:w="2366" w:type="dxa"/>
            <w:tcBorders>
              <w:top w:val="single" w:color="D3D3D3" w:sz="6" w:space="0"/>
              <w:left w:val="single" w:color="D3D3D3" w:sz="6" w:space="0"/>
              <w:bottom w:val="double" w:color="000000" w:sz="2" w:space="0"/>
              <w:right w:val="double" w:color="000000" w:sz="2" w:space="0"/>
            </w:tcBorders>
            <w:noWrap w:val="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Times New Roman"/>
                <w:b w:val="0"/>
                <w:i w:val="0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2.52</w:t>
            </w:r>
          </w:p>
        </w:tc>
      </w:tr>
    </w:tbl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jc w:val="left"/>
        <w:rPr>
          <w:rFonts w:ascii="仿宋" w:hAnsi="仿宋" w:eastAsia="仿宋"/>
          <w:b/>
          <w:i w:val="0"/>
          <w:color w:val="000000"/>
          <w:sz w:val="24"/>
        </w:rPr>
      </w:pPr>
    </w:p>
    <w:p>
      <w:pPr>
        <w:widowControl/>
        <w:bidi w:val="0"/>
        <w:jc w:val="center"/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</w:pP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§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6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 xml:space="preserve"> </w:t>
      </w:r>
      <w:r>
        <w:rPr>
          <w:rFonts w:hint="eastAsia" w:ascii="仿宋" w:hAnsi="仿宋" w:eastAsia="仿宋" w:cs="Times New Roman"/>
          <w:b/>
          <w:i w:val="0"/>
          <w:color w:val="000000"/>
          <w:kern w:val="0"/>
          <w:sz w:val="24"/>
          <w:szCs w:val="20"/>
          <w:lang w:val="en-US" w:eastAsia="zh-CN"/>
        </w:rPr>
        <w:t>托管人</w:t>
      </w:r>
      <w:r>
        <w:rPr>
          <w:rFonts w:ascii="仿宋" w:hAnsi="仿宋" w:eastAsia="仿宋" w:cs="Times New Roman"/>
          <w:b/>
          <w:i w:val="0"/>
          <w:color w:val="000000"/>
          <w:kern w:val="0"/>
          <w:sz w:val="24"/>
          <w:szCs w:val="20"/>
          <w:lang w:eastAsia="en-US"/>
        </w:rPr>
        <w:t>报告</w:t>
      </w:r>
    </w:p>
    <w:p>
      <w:pPr>
        <w:jc w:val="left"/>
        <w:rPr>
          <w:rFonts w:ascii="仿宋" w:hAnsi="仿宋" w:eastAsia="仿宋"/>
          <w:b/>
          <w:i w:val="0"/>
          <w:color w:val="000000"/>
          <w:sz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rPr>
          <w:rFonts w:ascii="仿宋" w:hAnsi="仿宋" w:eastAsia="仿宋"/>
          <w:b w:val="0"/>
          <w:i w:val="0"/>
          <w:color w:val="000000"/>
          <w:sz w:val="24"/>
          <w:lang w:eastAsia="en-US"/>
        </w:rPr>
      </w:pPr>
      <w:r>
        <w:rPr>
          <w:rFonts w:hint="eastAsia" w:ascii="仿宋" w:hAnsi="仿宋" w:eastAsia="仿宋"/>
          <w:b w:val="0"/>
          <w:i w:val="0"/>
          <w:color w:val="000000"/>
          <w:sz w:val="24"/>
          <w:szCs w:val="22"/>
          <w:lang w:val="en-US" w:eastAsia="zh-CN"/>
        </w:rPr>
        <w:t>工商银行具备完善的公司治理结构、内部稽核监控制度和风险控制制度，我行在履行托管职责中，严格遵守有关法律法规、托管协议的规定，尽职尽责地履行托管义务并安全保管托管资产。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dale W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 w:tentative="0">
      <w:start w:val="1"/>
      <w:numFmt w:val="bullet"/>
      <w:lvlText w:val=" "/>
      <w:lvlJc w:val="left"/>
      <w:rPr>
        <w:rFonts w:ascii="Arial" w:hAnsi="Arial" w:eastAsia="Arial" w:cs="Arial"/>
        <w:sz w:val="20"/>
      </w:rPr>
    </w:lvl>
    <w:lvl w:ilvl="1" w:tentative="0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 w:tentative="0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 w:tentative="0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 w:tentative="0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 w:tentative="0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 w:tentative="0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 w:tentative="0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 w:tentative="0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11FE1"/>
    <w:rsid w:val="023D3E26"/>
    <w:rsid w:val="04836438"/>
    <w:rsid w:val="0731698E"/>
    <w:rsid w:val="07F36610"/>
    <w:rsid w:val="0BE9219C"/>
    <w:rsid w:val="0D2D75E8"/>
    <w:rsid w:val="12767544"/>
    <w:rsid w:val="13265951"/>
    <w:rsid w:val="1EED5A10"/>
    <w:rsid w:val="20B912D1"/>
    <w:rsid w:val="2311391C"/>
    <w:rsid w:val="239E502E"/>
    <w:rsid w:val="24E8576B"/>
    <w:rsid w:val="25934840"/>
    <w:rsid w:val="27F5446E"/>
    <w:rsid w:val="28DB6496"/>
    <w:rsid w:val="294A584A"/>
    <w:rsid w:val="294D4ABB"/>
    <w:rsid w:val="31BD3F90"/>
    <w:rsid w:val="39433067"/>
    <w:rsid w:val="39AA15AF"/>
    <w:rsid w:val="3A530339"/>
    <w:rsid w:val="3A680E02"/>
    <w:rsid w:val="3C1C2FB8"/>
    <w:rsid w:val="45232B49"/>
    <w:rsid w:val="46E13057"/>
    <w:rsid w:val="46E3326F"/>
    <w:rsid w:val="4B556235"/>
    <w:rsid w:val="4BEE4F7F"/>
    <w:rsid w:val="4CD162A0"/>
    <w:rsid w:val="51B9186B"/>
    <w:rsid w:val="530B5FD0"/>
    <w:rsid w:val="55BE6267"/>
    <w:rsid w:val="56652B83"/>
    <w:rsid w:val="5AE144ED"/>
    <w:rsid w:val="5D2609A7"/>
    <w:rsid w:val="5F431E6C"/>
    <w:rsid w:val="64D4225C"/>
    <w:rsid w:val="68BF289F"/>
    <w:rsid w:val="6A961CE2"/>
    <w:rsid w:val="6BD769E1"/>
    <w:rsid w:val="6D0C3B99"/>
    <w:rsid w:val="6E211FE1"/>
    <w:rsid w:val="71F0393A"/>
    <w:rsid w:val="78CE2ECD"/>
    <w:rsid w:val="7A1E7710"/>
    <w:rsid w:val="7B7E6618"/>
    <w:rsid w:val="7BA80B31"/>
    <w:rsid w:val="7E49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default" w:ascii="Andale WT" w:hAnsi="Andale WT" w:eastAsia="Andale WT" w:cs="Andale WT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2022-10-20T07:48:00Z</dcterms:created>
  <dc:creator>gdgz-wenjx</dc:creator>
  <cp:lastModifiedBy>Administrator</cp:lastModifiedBy>
  <dcterms:modified xsi:type="dcterms:W3CDTF">2025-08-29T01:23:35Z</dcterms:modified>
  <dc:title>季度报告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D1C7029C7AF449A89CCEBC7627B295B5</vt:lpwstr>
  </property>
</Properties>
</file>