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widowControl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四川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银行20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年理财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业务半年报</w:t>
      </w:r>
    </w:p>
    <w:bookmarkEnd w:id="0"/>
    <w:p>
      <w:pPr>
        <w:widowControl/>
        <w:ind w:firstLine="640" w:firstLineChars="200"/>
        <w:jc w:val="left"/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本报告报告期为202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年1月1日至202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年6月30日，运行情况公告如下：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 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一、理财业务总体运行情况</w:t>
      </w:r>
    </w:p>
    <w:p>
      <w:pPr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报告期内四川银行共发行成立理财产品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期，各类产品净募集资金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-12.73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亿元;到期理财产品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期，合计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56.91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亿元;截至202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年6月末，全行理财产品余额为2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亿元。具体分类如下：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638"/>
        <w:gridCol w:w="1377"/>
        <w:gridCol w:w="1148"/>
        <w:gridCol w:w="1148"/>
        <w:gridCol w:w="11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459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13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发行</w:t>
            </w:r>
            <w:r>
              <w:rPr>
                <w:rStyle w:val="7"/>
                <w:rFonts w:hint="eastAsia" w:ascii="仿宋" w:hAnsi="仿宋" w:eastAsia="仿宋" w:cs="仿宋"/>
                <w:lang w:bidi="ar"/>
              </w:rPr>
              <w:t>数量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净募集</w:t>
            </w:r>
            <w:r>
              <w:rPr>
                <w:rStyle w:val="7"/>
                <w:rFonts w:hint="eastAsia" w:ascii="仿宋" w:hAnsi="仿宋" w:eastAsia="仿宋" w:cs="仿宋"/>
                <w:lang w:bidi="ar"/>
              </w:rPr>
              <w:t>金额(亿元)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到期数量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到期金额</w:t>
            </w:r>
            <w:r>
              <w:rPr>
                <w:rStyle w:val="7"/>
                <w:rFonts w:hint="eastAsia" w:ascii="仿宋" w:hAnsi="仿宋" w:eastAsia="仿宋" w:cs="仿宋"/>
                <w:lang w:bidi="ar"/>
              </w:rPr>
              <w:t>(亿元)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4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按募集方式划分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公募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-12.73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52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56.91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私募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按投资性质划分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固定收益类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-12.73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52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56.91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按运作模式划分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封闭式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-53.98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52</w:t>
            </w:r>
          </w:p>
        </w:tc>
        <w:tc>
          <w:tcPr>
            <w:tcW w:w="114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56.91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开放式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41.25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</w:p>
        </w:tc>
        <w:tc>
          <w:tcPr>
            <w:tcW w:w="114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 xml:space="preserve">                                                                               </w:t>
      </w:r>
    </w:p>
    <w:p>
      <w:pPr>
        <w:numPr>
          <w:ilvl w:val="0"/>
          <w:numId w:val="1"/>
        </w:num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期末存续理财产品情况</w:t>
      </w:r>
    </w:p>
    <w:p>
      <w:pPr>
        <w:spacing w:line="600" w:lineRule="exact"/>
        <w:ind w:firstLine="640" w:firstLineChars="200"/>
        <w:contextualSpacing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截至202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年6月末，我行存续理财产品共计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期，余额共计2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亿元。具体分类如下：</w:t>
      </w:r>
    </w:p>
    <w:p>
      <w:pPr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tbl>
      <w:tblPr>
        <w:tblStyle w:val="3"/>
        <w:tblW w:w="83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2119"/>
        <w:gridCol w:w="1036"/>
        <w:gridCol w:w="1418"/>
        <w:gridCol w:w="1090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35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产品类型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年6月末数量（只）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年6月末(亿元)</w:t>
            </w:r>
          </w:p>
        </w:tc>
        <w:tc>
          <w:tcPr>
            <w:tcW w:w="1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年初数量（只）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年初</w:t>
            </w:r>
          </w:p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(亿元)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按募集方式划分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公募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210.24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222.71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私募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按投资性质划分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固定收益类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210.24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222.71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其他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39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按运作模式划分</w:t>
            </w:r>
            <w:r>
              <w:rPr>
                <w:rStyle w:val="6"/>
                <w:rFonts w:hint="eastAsia" w:ascii="仿宋" w:hAnsi="仿宋" w:eastAsia="仿宋" w:cs="仿宋"/>
                <w:color w:val="000000"/>
                <w:lang w:bidi="ar"/>
              </w:rPr>
              <w:footnoteReference w:id="0"/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封闭式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26.47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80.88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39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开放式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183.77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141.83</w:t>
            </w:r>
          </w:p>
        </w:tc>
      </w:tr>
    </w:tbl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三、 理财产品投资资产情况 </w:t>
      </w:r>
    </w:p>
    <w:p>
      <w:pPr>
        <w:ind w:left="64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1、期末投资资产情况</w:t>
      </w:r>
    </w:p>
    <w:p>
      <w:pPr>
        <w:spacing w:line="600" w:lineRule="exact"/>
        <w:ind w:firstLine="640" w:firstLineChars="200"/>
        <w:contextualSpacing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截至202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年6月末，我行理财产品穿透后底层资产投资标的主要包含：现金、债券、同业存单、交易所质押式逆回购、非标准化债权资产等，具体分类及占比如下：</w:t>
      </w:r>
    </w:p>
    <w:tbl>
      <w:tblPr>
        <w:tblStyle w:val="3"/>
        <w:tblW w:w="9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1533"/>
        <w:gridCol w:w="1701"/>
        <w:gridCol w:w="1612"/>
        <w:gridCol w:w="1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底层资产</w:t>
            </w:r>
          </w:p>
        </w:tc>
        <w:tc>
          <w:tcPr>
            <w:tcW w:w="3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202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</w:rPr>
              <w:t>年6月末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202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</w:rPr>
              <w:t>年初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金额（亿元）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占比（%）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金额（亿元）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占比（%）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现金及银行存款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 xml:space="preserve"> 12.58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 xml:space="preserve"> 5.98 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16.41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textAlignment w:val="bottom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7.31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交易所质押式逆回购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 xml:space="preserve"> 34.16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 xml:space="preserve"> 16.24 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32.86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textAlignment w:val="bottom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14.64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同业存单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 xml:space="preserve"> 64.07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 xml:space="preserve"> 30.47 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68.97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textAlignment w:val="bottom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30.71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债券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 xml:space="preserve"> 96.98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 xml:space="preserve"> 46.12 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97.77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textAlignment w:val="bottom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43.55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非标准化债权资产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 xml:space="preserve"> 2.50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 xml:space="preserve"> 1.19 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8.50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3.79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2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合计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 xml:space="preserve"> 210.28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  <w:lang w:val="en-US" w:eastAsia="zh-CN"/>
              </w:rPr>
              <w:t xml:space="preserve"> 100.00 </w:t>
            </w:r>
          </w:p>
        </w:tc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224.51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right"/>
              <w:textAlignment w:val="top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highlight w:val="none"/>
              </w:rPr>
              <w:t>100.00</w:t>
            </w:r>
          </w:p>
        </w:tc>
      </w:tr>
    </w:tbl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ind w:firstLine="643" w:firstLineChars="200"/>
        <w:jc w:val="left"/>
      </w:pPr>
      <w:r>
        <w:rPr>
          <w:rFonts w:hint="eastAsia" w:ascii="仿宋" w:hAnsi="仿宋" w:eastAsia="仿宋"/>
          <w:b/>
          <w:bCs/>
          <w:sz w:val="32"/>
          <w:szCs w:val="32"/>
        </w:rPr>
        <w:t>2、非标准化债权类资产情况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截至202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年6月末,我行理财投资非标准化债权资产余额为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2.5</w:t>
      </w:r>
      <w:r>
        <w:rPr>
          <w:rFonts w:hint="eastAsia" w:ascii="仿宋_GB2312" w:hAnsi="仿宋" w:eastAsia="仿宋_GB2312"/>
          <w:sz w:val="32"/>
          <w:szCs w:val="32"/>
        </w:rPr>
        <w:t>亿元（按资产本金），详情如下：</w:t>
      </w:r>
    </w:p>
    <w:tbl>
      <w:tblPr>
        <w:tblStyle w:val="3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626"/>
        <w:gridCol w:w="1000"/>
        <w:gridCol w:w="1074"/>
        <w:gridCol w:w="1138"/>
        <w:gridCol w:w="77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jc w:val="center"/>
        </w:trPr>
        <w:tc>
          <w:tcPr>
            <w:tcW w:w="216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项目名称</w:t>
            </w:r>
          </w:p>
        </w:tc>
        <w:tc>
          <w:tcPr>
            <w:tcW w:w="162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融资客户</w:t>
            </w:r>
          </w:p>
        </w:tc>
        <w:tc>
          <w:tcPr>
            <w:tcW w:w="100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金额（亿元）</w:t>
            </w:r>
          </w:p>
        </w:tc>
        <w:tc>
          <w:tcPr>
            <w:tcW w:w="107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剩余融资期限（天）</w:t>
            </w:r>
          </w:p>
        </w:tc>
        <w:tc>
          <w:tcPr>
            <w:tcW w:w="1138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到期收益分配</w:t>
            </w:r>
          </w:p>
        </w:tc>
        <w:tc>
          <w:tcPr>
            <w:tcW w:w="77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交易结构</w:t>
            </w:r>
          </w:p>
        </w:tc>
        <w:tc>
          <w:tcPr>
            <w:tcW w:w="84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jc w:val="center"/>
        </w:trPr>
        <w:tc>
          <w:tcPr>
            <w:tcW w:w="21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四川锦程消费金融有限责任公司同业借款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四川锦程消费金融有限责任公司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0.5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44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到期还本付息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同业借款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jc w:val="center"/>
        </w:trPr>
        <w:tc>
          <w:tcPr>
            <w:tcW w:w="21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华鑫信托·鑫吴197号集合资金信托计划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成都香城产业发展集团有限公司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171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按季付息，到期还本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集合资金信托计划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正常</w:t>
            </w:r>
          </w:p>
        </w:tc>
      </w:tr>
    </w:tbl>
    <w:p>
      <w:pPr>
        <w:widowControl/>
        <w:jc w:val="left"/>
      </w:pPr>
    </w:p>
    <w:p>
      <w:pPr>
        <w:widowControl/>
        <w:jc w:val="left"/>
        <w:rPr>
          <w:rFonts w:ascii="仿宋" w:hAnsi="仿宋" w:eastAsia="仿宋" w:cs="仿宋"/>
          <w:b/>
          <w:color w:val="000000"/>
          <w:kern w:val="0"/>
          <w:sz w:val="24"/>
          <w:lang w:bidi="ar"/>
        </w:rPr>
      </w:pPr>
    </w:p>
    <w:p>
      <w:pPr>
        <w:widowControl/>
        <w:jc w:val="left"/>
        <w:rPr>
          <w:rFonts w:hint="eastAsia" w:ascii="仿宋" w:hAnsi="仿宋" w:eastAsia="仿宋" w:cs="仿宋"/>
          <w:b/>
          <w:color w:val="000000"/>
          <w:kern w:val="0"/>
          <w:sz w:val="24"/>
          <w:lang w:bidi="ar"/>
        </w:rPr>
      </w:pPr>
    </w:p>
    <w:p>
      <w:pPr>
        <w:widowControl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四、其他信息 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根据《商业银行理财业务监督管理办法》（银保监令2018 </w:t>
      </w:r>
    </w:p>
    <w:p>
      <w:pPr>
        <w:rPr>
          <w:rFonts w:hint="eastAsia" w:ascii="仿宋_GB2312" w:hAnsi="仿宋" w:eastAsia="仿宋_GB2312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sz w:val="32"/>
          <w:szCs w:val="32"/>
        </w:rPr>
        <w:t>年第6号）披露要求，截至202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年6月末，我行理财产品投资于关联方资产总额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1.39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亿元（按资产</w:t>
      </w:r>
      <w:r>
        <w:rPr>
          <w:rFonts w:hint="eastAsia" w:ascii="仿宋_GB2312" w:hAnsi="仿宋" w:eastAsia="仿宋_GB2312"/>
          <w:sz w:val="32"/>
          <w:szCs w:val="32"/>
        </w:rPr>
        <w:t>本金），详情如下：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9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9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资产</w:t>
            </w:r>
            <w:r>
              <w:rPr>
                <w:rFonts w:ascii="仿宋" w:hAnsi="仿宋" w:eastAsia="仿宋" w:cs="仿宋"/>
                <w:color w:val="000000"/>
                <w:lang w:bidi="ar"/>
              </w:rPr>
              <w:t>名称</w:t>
            </w:r>
          </w:p>
        </w:tc>
        <w:tc>
          <w:tcPr>
            <w:tcW w:w="1845" w:type="dxa"/>
            <w:tcBorders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金额</w:t>
            </w:r>
            <w:r>
              <w:rPr>
                <w:rFonts w:ascii="仿宋" w:hAnsi="仿宋" w:eastAsia="仿宋" w:cs="仿宋"/>
                <w:color w:val="000000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lang w:bidi="ar"/>
              </w:rPr>
              <w:t>亿元</w:t>
            </w:r>
            <w:r>
              <w:rPr>
                <w:rFonts w:ascii="仿宋" w:hAnsi="仿宋" w:eastAsia="仿宋" w:cs="仿宋"/>
                <w:color w:val="000000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21攀国投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 w:bidi="ar"/>
              </w:rPr>
              <w:t>工投2B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9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bidi="ar"/>
              </w:rPr>
              <w:t>合计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lang w:val="en-US" w:eastAsia="zh-CN" w:bidi="ar"/>
              </w:rPr>
              <w:t>1.39</w:t>
            </w:r>
          </w:p>
        </w:tc>
      </w:tr>
    </w:tbl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yellow"/>
          <w:lang w:bidi="ar"/>
        </w:rPr>
      </w:pPr>
    </w:p>
    <w:p>
      <w:pPr>
        <w:widowControl/>
        <w:jc w:val="righ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四川银行股份有限公司 </w:t>
      </w:r>
    </w:p>
    <w:p>
      <w:pPr>
        <w:widowControl/>
        <w:jc w:val="right"/>
      </w:pP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月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>29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</w:pPr>
      <w:r>
        <w:rPr>
          <w:rStyle w:val="6"/>
        </w:rPr>
        <w:footnoteRef/>
      </w:r>
      <w:r>
        <w:t xml:space="preserve"> </w:t>
      </w:r>
      <w:r>
        <w:rPr>
          <w:rFonts w:hint="eastAsia"/>
        </w:rPr>
        <w:t>因分项统计四舍五入原因，存在尾差情况。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3178B"/>
    <w:multiLevelType w:val="singleLevel"/>
    <w:tmpl w:val="D85317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iNmE5ZDJkNDJhNzAxZmZlNDY2YmZmZDczY2Q3ZGMifQ=="/>
  </w:docVars>
  <w:rsids>
    <w:rsidRoot w:val="7D585E88"/>
    <w:rsid w:val="00087D5F"/>
    <w:rsid w:val="000F4019"/>
    <w:rsid w:val="00100360"/>
    <w:rsid w:val="001E6268"/>
    <w:rsid w:val="002F316F"/>
    <w:rsid w:val="003A4861"/>
    <w:rsid w:val="00487416"/>
    <w:rsid w:val="005007F9"/>
    <w:rsid w:val="005A5017"/>
    <w:rsid w:val="007408A1"/>
    <w:rsid w:val="007E45D8"/>
    <w:rsid w:val="00816F92"/>
    <w:rsid w:val="00886FCC"/>
    <w:rsid w:val="008B7E94"/>
    <w:rsid w:val="00974096"/>
    <w:rsid w:val="009A6A7C"/>
    <w:rsid w:val="00A70FA2"/>
    <w:rsid w:val="00A83737"/>
    <w:rsid w:val="00EA3F20"/>
    <w:rsid w:val="00F33CCE"/>
    <w:rsid w:val="00FE2198"/>
    <w:rsid w:val="015514B2"/>
    <w:rsid w:val="02143A07"/>
    <w:rsid w:val="04A77240"/>
    <w:rsid w:val="0ADD2F10"/>
    <w:rsid w:val="0AF116BB"/>
    <w:rsid w:val="0B4861C6"/>
    <w:rsid w:val="0CB04EC9"/>
    <w:rsid w:val="105748A5"/>
    <w:rsid w:val="15EB56C3"/>
    <w:rsid w:val="1FD51C3E"/>
    <w:rsid w:val="20494FC9"/>
    <w:rsid w:val="227E58B4"/>
    <w:rsid w:val="22F24F0E"/>
    <w:rsid w:val="232767D9"/>
    <w:rsid w:val="23671F9E"/>
    <w:rsid w:val="23EB25CB"/>
    <w:rsid w:val="2B704D33"/>
    <w:rsid w:val="2BCC2A9E"/>
    <w:rsid w:val="2C5D1AC1"/>
    <w:rsid w:val="33DE37FC"/>
    <w:rsid w:val="34A3421F"/>
    <w:rsid w:val="352D2962"/>
    <w:rsid w:val="35E706E8"/>
    <w:rsid w:val="389F5823"/>
    <w:rsid w:val="3ABD4325"/>
    <w:rsid w:val="3F6C0E72"/>
    <w:rsid w:val="420D1ED6"/>
    <w:rsid w:val="422212D1"/>
    <w:rsid w:val="4256654E"/>
    <w:rsid w:val="42F72B86"/>
    <w:rsid w:val="453C3DB3"/>
    <w:rsid w:val="458E5741"/>
    <w:rsid w:val="471809A4"/>
    <w:rsid w:val="4C8E3361"/>
    <w:rsid w:val="4D520C49"/>
    <w:rsid w:val="4F947C8B"/>
    <w:rsid w:val="4FA32CAA"/>
    <w:rsid w:val="5196484B"/>
    <w:rsid w:val="5354012A"/>
    <w:rsid w:val="5383403C"/>
    <w:rsid w:val="55AF081D"/>
    <w:rsid w:val="55CC4CE0"/>
    <w:rsid w:val="56051FA0"/>
    <w:rsid w:val="58F8320A"/>
    <w:rsid w:val="59981AA8"/>
    <w:rsid w:val="5A0D63A3"/>
    <w:rsid w:val="5AA75A9A"/>
    <w:rsid w:val="5B921CB2"/>
    <w:rsid w:val="5C277537"/>
    <w:rsid w:val="68C00D9E"/>
    <w:rsid w:val="6CC11A42"/>
    <w:rsid w:val="6D4757C8"/>
    <w:rsid w:val="6D515497"/>
    <w:rsid w:val="6DB22A8A"/>
    <w:rsid w:val="71BE777B"/>
    <w:rsid w:val="733B37F1"/>
    <w:rsid w:val="73436234"/>
    <w:rsid w:val="74443638"/>
    <w:rsid w:val="75ED4EDC"/>
    <w:rsid w:val="761E400A"/>
    <w:rsid w:val="7D585E88"/>
    <w:rsid w:val="7E714E44"/>
    <w:rsid w:val="7FF1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otnote reference"/>
    <w:basedOn w:val="5"/>
    <w:qFormat/>
    <w:uiPriority w:val="0"/>
    <w:rPr>
      <w:vertAlign w:val="superscript"/>
    </w:rPr>
  </w:style>
  <w:style w:type="character" w:customStyle="1" w:styleId="7">
    <w:name w:val="font2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9CB5-2A47-4208-93C8-7A763848E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1323</Words>
  <Characters>1687</Characters>
  <Lines>295</Lines>
  <Paragraphs>263</Paragraphs>
  <TotalTime>13</TotalTime>
  <ScaleCrop>false</ScaleCrop>
  <LinksUpToDate>false</LinksUpToDate>
  <CharactersWithSpaces>1779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2024-07-18T09:53:00Z</dcterms:created>
  <dc:creator>苏晓雅</dc:creator>
  <cp:lastModifiedBy>Administrator</cp:lastModifiedBy>
  <dcterms:modified xsi:type="dcterms:W3CDTF">2025-08-29T01:24:56Z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1BC43512D69840909A1EAD771E6A8533</vt:lpwstr>
  </property>
</Properties>
</file>